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A01" w:rsidRDefault="007E2A01" w:rsidP="00DB13A9">
      <w:pPr>
        <w:ind w:left="708" w:hanging="708"/>
        <w:jc w:val="center"/>
        <w:rPr>
          <w:rFonts w:ascii="Bookman Old Style" w:hAnsi="Bookman Old Style" w:cstheme="minorHAnsi"/>
          <w:b/>
        </w:rPr>
      </w:pPr>
    </w:p>
    <w:p w:rsidR="00076757" w:rsidRDefault="00076757" w:rsidP="00076757">
      <w:pPr>
        <w:ind w:left="708" w:hanging="708"/>
        <w:jc w:val="center"/>
        <w:rPr>
          <w:rFonts w:ascii="Bookman Old Style" w:hAnsi="Bookman Old Style" w:cstheme="minorHAnsi"/>
          <w:b/>
        </w:rPr>
      </w:pPr>
    </w:p>
    <w:p w:rsidR="00076757" w:rsidRDefault="00076757" w:rsidP="00076757">
      <w:pPr>
        <w:jc w:val="center"/>
        <w:rPr>
          <w:rFonts w:ascii="Bookman Old Style" w:hAnsi="Bookman Old Style" w:cstheme="minorHAnsi"/>
          <w:b/>
        </w:rPr>
      </w:pPr>
      <w:r>
        <w:rPr>
          <w:rFonts w:ascii="Bookman Old Style" w:hAnsi="Bookman Old Style" w:cstheme="minorHAnsi"/>
          <w:b/>
        </w:rPr>
        <w:t>INFORME DE PONENCIA PARA SEGUNDO DEBATE EN SEGUNDA VUELTA EN CÁMARA DE REPRESENTANTES AL PROYECTO DE ACTO LEGISLATIVO NÚMERO 002 DE 2022 CÁMARA // 033 DE 2022 SENADO</w:t>
      </w:r>
    </w:p>
    <w:p w:rsidR="00076757" w:rsidRPr="00485CC5" w:rsidRDefault="00076757" w:rsidP="00076757">
      <w:pPr>
        <w:jc w:val="center"/>
        <w:rPr>
          <w:rFonts w:ascii="Bookman Old Style" w:hAnsi="Bookman Old Style" w:cstheme="minorHAnsi"/>
          <w:b/>
        </w:rPr>
      </w:pPr>
      <w:r w:rsidRPr="00485CC5">
        <w:rPr>
          <w:rFonts w:ascii="Bookman Old Style" w:hAnsi="Bookman Old Style" w:cstheme="minorHAnsi"/>
        </w:rPr>
        <w:t>“</w:t>
      </w:r>
      <w:r w:rsidRPr="007E2A01">
        <w:rPr>
          <w:rFonts w:ascii="Bookman Old Style" w:hAnsi="Bookman Old Style" w:cstheme="minorHAnsi"/>
          <w:i/>
          <w:iCs/>
        </w:rPr>
        <w:t>Por medio del cual se modifica el artículo 49 de la Constitución Política de Colombia, se regulariza el cannabis de uso adulto y se dictan otras disposiciones.</w:t>
      </w:r>
      <w:r w:rsidRPr="00485CC5">
        <w:rPr>
          <w:rFonts w:ascii="Bookman Old Style" w:hAnsi="Bookman Old Style" w:cstheme="minorHAnsi"/>
        </w:rPr>
        <w:t>”.</w:t>
      </w:r>
    </w:p>
    <w:p w:rsidR="00076757" w:rsidRDefault="00076757" w:rsidP="00076757">
      <w:pPr>
        <w:rPr>
          <w:rFonts w:ascii="Bookman Old Style" w:hAnsi="Bookman Old Style" w:cstheme="minorHAnsi"/>
          <w:b/>
        </w:rPr>
      </w:pPr>
    </w:p>
    <w:p w:rsidR="00076757" w:rsidRDefault="00076757" w:rsidP="00076757">
      <w:pPr>
        <w:rPr>
          <w:rFonts w:ascii="Bookman Old Style" w:hAnsi="Bookman Old Style" w:cstheme="minorHAnsi"/>
        </w:rPr>
      </w:pPr>
    </w:p>
    <w:p w:rsidR="00076757" w:rsidRDefault="00286A0B" w:rsidP="00076757">
      <w:pPr>
        <w:rPr>
          <w:rFonts w:ascii="Bookman Old Style" w:hAnsi="Bookman Old Style" w:cstheme="minorHAnsi"/>
        </w:rPr>
      </w:pPr>
      <w:r>
        <w:rPr>
          <w:rFonts w:ascii="Bookman Old Style" w:hAnsi="Bookman Old Style" w:cstheme="minorHAnsi"/>
        </w:rPr>
        <w:t>Bogotá D.C. 12</w:t>
      </w:r>
      <w:r w:rsidR="00076757">
        <w:rPr>
          <w:rFonts w:ascii="Bookman Old Style" w:hAnsi="Bookman Old Style" w:cstheme="minorHAnsi"/>
        </w:rPr>
        <w:t xml:space="preserve"> de abril de 2023</w:t>
      </w:r>
    </w:p>
    <w:p w:rsidR="00076757" w:rsidRPr="00485CC5" w:rsidRDefault="00076757" w:rsidP="00076757">
      <w:pPr>
        <w:rPr>
          <w:rFonts w:ascii="Bookman Old Style" w:hAnsi="Bookman Old Style" w:cstheme="minorHAnsi"/>
        </w:rPr>
      </w:pPr>
    </w:p>
    <w:p w:rsidR="00076757" w:rsidRDefault="00076757" w:rsidP="00076757">
      <w:pPr>
        <w:rPr>
          <w:rFonts w:ascii="Bookman Old Style" w:hAnsi="Bookman Old Style" w:cstheme="minorHAnsi"/>
        </w:rPr>
      </w:pPr>
    </w:p>
    <w:p w:rsidR="00076757" w:rsidRDefault="00076757" w:rsidP="00076757">
      <w:pPr>
        <w:rPr>
          <w:rFonts w:ascii="Bookman Old Style" w:hAnsi="Bookman Old Style" w:cstheme="minorHAnsi"/>
        </w:rPr>
      </w:pPr>
      <w:r>
        <w:rPr>
          <w:rFonts w:ascii="Bookman Old Style" w:hAnsi="Bookman Old Style" w:cstheme="minorHAnsi"/>
        </w:rPr>
        <w:t>Honorable Representante</w:t>
      </w:r>
    </w:p>
    <w:p w:rsidR="00076757" w:rsidRPr="00F120F7" w:rsidRDefault="00076757" w:rsidP="00076757">
      <w:pPr>
        <w:rPr>
          <w:rFonts w:ascii="Bookman Old Style" w:hAnsi="Bookman Old Style" w:cstheme="minorHAnsi"/>
          <w:b/>
          <w:bCs/>
        </w:rPr>
      </w:pPr>
      <w:r>
        <w:rPr>
          <w:rFonts w:ascii="Bookman Old Style" w:hAnsi="Bookman Old Style" w:cstheme="minorHAnsi"/>
          <w:b/>
          <w:bCs/>
        </w:rPr>
        <w:t>JUAN CARLOS WILLS OSPINA</w:t>
      </w:r>
    </w:p>
    <w:p w:rsidR="00076757" w:rsidRDefault="00076757" w:rsidP="00076757">
      <w:pPr>
        <w:rPr>
          <w:rFonts w:ascii="Bookman Old Style" w:hAnsi="Bookman Old Style" w:cstheme="minorHAnsi"/>
        </w:rPr>
      </w:pPr>
      <w:r>
        <w:rPr>
          <w:rFonts w:ascii="Bookman Old Style" w:hAnsi="Bookman Old Style" w:cstheme="minorHAnsi"/>
        </w:rPr>
        <w:t>Presidente</w:t>
      </w:r>
    </w:p>
    <w:p w:rsidR="00076757" w:rsidRPr="00F120F7" w:rsidRDefault="00076757" w:rsidP="00076757">
      <w:pPr>
        <w:rPr>
          <w:rFonts w:ascii="Bookman Old Style" w:hAnsi="Bookman Old Style" w:cstheme="minorHAnsi"/>
          <w:b/>
          <w:bCs/>
        </w:rPr>
      </w:pPr>
      <w:r w:rsidRPr="00F120F7">
        <w:rPr>
          <w:rFonts w:ascii="Bookman Old Style" w:hAnsi="Bookman Old Style" w:cstheme="minorHAnsi"/>
          <w:b/>
          <w:bCs/>
        </w:rPr>
        <w:t>Comisión Primera Constitucional</w:t>
      </w:r>
    </w:p>
    <w:p w:rsidR="00076757" w:rsidRPr="00485CC5" w:rsidRDefault="00076757" w:rsidP="00076757">
      <w:pPr>
        <w:rPr>
          <w:rFonts w:ascii="Bookman Old Style" w:hAnsi="Bookman Old Style" w:cstheme="minorHAnsi"/>
        </w:rPr>
      </w:pPr>
      <w:r w:rsidRPr="00485CC5">
        <w:rPr>
          <w:rFonts w:ascii="Bookman Old Style" w:hAnsi="Bookman Old Style" w:cstheme="minorHAnsi"/>
        </w:rPr>
        <w:t>Cámara de Representantes</w:t>
      </w:r>
    </w:p>
    <w:p w:rsidR="00076757" w:rsidRPr="00485CC5" w:rsidRDefault="00076757" w:rsidP="00076757">
      <w:pPr>
        <w:rPr>
          <w:rFonts w:ascii="Bookman Old Style" w:hAnsi="Bookman Old Style" w:cstheme="minorHAnsi"/>
        </w:rPr>
      </w:pPr>
      <w:r w:rsidRPr="00485CC5">
        <w:rPr>
          <w:rFonts w:ascii="Bookman Old Style" w:hAnsi="Bookman Old Style" w:cstheme="minorHAnsi"/>
        </w:rPr>
        <w:t>Ciudad</w:t>
      </w:r>
      <w:r>
        <w:rPr>
          <w:rFonts w:ascii="Bookman Old Style" w:hAnsi="Bookman Old Style" w:cstheme="minorHAnsi"/>
        </w:rPr>
        <w:t>.</w:t>
      </w:r>
    </w:p>
    <w:p w:rsidR="00076757" w:rsidRPr="00485CC5" w:rsidRDefault="00076757" w:rsidP="00076757">
      <w:pPr>
        <w:rPr>
          <w:rFonts w:ascii="Bookman Old Style" w:hAnsi="Bookman Old Style" w:cstheme="minorHAnsi"/>
          <w:b/>
        </w:rPr>
      </w:pPr>
    </w:p>
    <w:p w:rsidR="00076757" w:rsidRPr="00485CC5" w:rsidRDefault="00076757" w:rsidP="00076757">
      <w:pPr>
        <w:rPr>
          <w:rFonts w:ascii="Bookman Old Style" w:hAnsi="Bookman Old Style" w:cstheme="minorHAnsi"/>
          <w:b/>
        </w:rPr>
      </w:pPr>
    </w:p>
    <w:p w:rsidR="00076757" w:rsidRPr="00F46028" w:rsidRDefault="00076757" w:rsidP="00076757">
      <w:pPr>
        <w:pStyle w:val="NormalWeb"/>
        <w:shd w:val="clear" w:color="auto" w:fill="FFFFFF"/>
        <w:spacing w:before="0" w:beforeAutospacing="0" w:after="0" w:afterAutospacing="0"/>
        <w:ind w:left="3969"/>
        <w:jc w:val="both"/>
        <w:rPr>
          <w:rFonts w:ascii="Bookman Old Style" w:hAnsi="Bookman Old Style" w:cs="Arial"/>
          <w:bCs/>
          <w:sz w:val="22"/>
          <w:szCs w:val="22"/>
        </w:rPr>
      </w:pPr>
      <w:r w:rsidRPr="00F46028">
        <w:rPr>
          <w:rFonts w:ascii="Bookman Old Style" w:hAnsi="Bookman Old Style" w:cs="Arial"/>
          <w:b/>
          <w:bCs/>
          <w:sz w:val="22"/>
          <w:szCs w:val="22"/>
          <w:lang w:val="es-ES_tradnl"/>
        </w:rPr>
        <w:t>Referencia:</w:t>
      </w:r>
      <w:r w:rsidRPr="00F46028">
        <w:rPr>
          <w:rFonts w:ascii="Bookman Old Style" w:hAnsi="Bookman Old Style" w:cs="Arial"/>
          <w:b/>
          <w:bCs/>
          <w:sz w:val="22"/>
          <w:szCs w:val="22"/>
          <w:lang w:val="es-ES_tradnl"/>
        </w:rPr>
        <w:tab/>
        <w:t xml:space="preserve">Informe de Ponencia para </w:t>
      </w:r>
      <w:r>
        <w:rPr>
          <w:rFonts w:ascii="Bookman Old Style" w:hAnsi="Bookman Old Style" w:cs="Arial"/>
          <w:b/>
          <w:bCs/>
          <w:sz w:val="22"/>
          <w:szCs w:val="22"/>
          <w:lang w:val="es-ES_tradnl"/>
        </w:rPr>
        <w:t>segundo debate en segunda vuelta al Proyecto de Acto Legislativo</w:t>
      </w:r>
      <w:r w:rsidRPr="00F46028">
        <w:rPr>
          <w:rFonts w:ascii="Bookman Old Style" w:hAnsi="Bookman Old Style" w:cs="Arial"/>
          <w:b/>
          <w:bCs/>
          <w:sz w:val="22"/>
          <w:szCs w:val="22"/>
          <w:lang w:val="es-ES_tradnl"/>
        </w:rPr>
        <w:t xml:space="preserve"> número </w:t>
      </w:r>
      <w:r>
        <w:rPr>
          <w:rFonts w:ascii="Bookman Old Style" w:hAnsi="Bookman Old Style" w:cs="Arial"/>
          <w:b/>
          <w:bCs/>
          <w:sz w:val="22"/>
          <w:szCs w:val="22"/>
          <w:lang w:val="es-ES_tradnl"/>
        </w:rPr>
        <w:t>002 de 2022</w:t>
      </w:r>
      <w:r w:rsidRPr="00F46028">
        <w:rPr>
          <w:rFonts w:ascii="Bookman Old Style" w:hAnsi="Bookman Old Style" w:cs="Arial"/>
          <w:b/>
          <w:bCs/>
          <w:sz w:val="22"/>
          <w:szCs w:val="22"/>
          <w:lang w:val="es-ES_tradnl"/>
        </w:rPr>
        <w:t xml:space="preserve"> Cámara</w:t>
      </w:r>
      <w:r>
        <w:rPr>
          <w:rFonts w:ascii="Bookman Old Style" w:hAnsi="Bookman Old Style" w:cs="Arial"/>
          <w:b/>
          <w:bCs/>
          <w:sz w:val="22"/>
          <w:szCs w:val="22"/>
          <w:lang w:val="es-ES_tradnl"/>
        </w:rPr>
        <w:t xml:space="preserve"> // 033 de 2022 Senado</w:t>
      </w:r>
      <w:r w:rsidRPr="00F46028">
        <w:rPr>
          <w:rFonts w:ascii="Bookman Old Style" w:hAnsi="Bookman Old Style" w:cs="Arial"/>
          <w:b/>
          <w:bCs/>
          <w:sz w:val="22"/>
          <w:szCs w:val="22"/>
          <w:lang w:val="es-ES_tradnl"/>
        </w:rPr>
        <w:t>.</w:t>
      </w:r>
    </w:p>
    <w:p w:rsidR="00076757" w:rsidRPr="00485CC5" w:rsidRDefault="00076757" w:rsidP="00076757">
      <w:pPr>
        <w:jc w:val="right"/>
        <w:rPr>
          <w:rFonts w:ascii="Bookman Old Style" w:hAnsi="Bookman Old Style" w:cstheme="minorHAnsi"/>
          <w:b/>
        </w:rPr>
      </w:pPr>
    </w:p>
    <w:p w:rsidR="00076757" w:rsidRPr="00485CC5" w:rsidRDefault="00076757" w:rsidP="00076757">
      <w:pPr>
        <w:rPr>
          <w:rFonts w:ascii="Bookman Old Style" w:hAnsi="Bookman Old Style" w:cstheme="minorHAnsi"/>
          <w:b/>
        </w:rPr>
      </w:pPr>
    </w:p>
    <w:p w:rsidR="00076757" w:rsidRDefault="00076757" w:rsidP="00076757">
      <w:pPr>
        <w:jc w:val="both"/>
        <w:rPr>
          <w:rFonts w:ascii="Bookman Old Style" w:hAnsi="Bookman Old Style" w:cstheme="minorHAnsi"/>
        </w:rPr>
      </w:pPr>
      <w:r>
        <w:rPr>
          <w:rFonts w:ascii="Bookman Old Style" w:hAnsi="Bookman Old Style" w:cstheme="minorHAnsi"/>
        </w:rPr>
        <w:t>Honorables Representantes:</w:t>
      </w:r>
    </w:p>
    <w:p w:rsidR="00076757" w:rsidRDefault="00076757" w:rsidP="00076757">
      <w:pPr>
        <w:jc w:val="both"/>
        <w:rPr>
          <w:rFonts w:ascii="Bookman Old Style" w:hAnsi="Bookman Old Style" w:cstheme="minorHAnsi"/>
        </w:rPr>
      </w:pPr>
    </w:p>
    <w:p w:rsidR="00076757" w:rsidRPr="00C530CB" w:rsidRDefault="00076757" w:rsidP="00076757">
      <w:pPr>
        <w:pStyle w:val="NormalWeb"/>
        <w:shd w:val="clear" w:color="auto" w:fill="FFFFFF"/>
        <w:spacing w:before="0" w:beforeAutospacing="0" w:after="0" w:afterAutospacing="0"/>
        <w:jc w:val="both"/>
        <w:rPr>
          <w:rFonts w:ascii="Bookman Old Style" w:hAnsi="Bookman Old Style" w:cs="Arial"/>
          <w:sz w:val="22"/>
          <w:szCs w:val="22"/>
          <w:lang w:val="es-ES"/>
        </w:rPr>
      </w:pPr>
      <w:r w:rsidRPr="00F46028">
        <w:rPr>
          <w:rFonts w:ascii="Bookman Old Style" w:hAnsi="Bookman Old Style" w:cs="Arial"/>
          <w:bCs/>
          <w:sz w:val="22"/>
          <w:szCs w:val="22"/>
          <w:lang w:val="es-ES_tradnl"/>
        </w:rPr>
        <w:t>En cumplimiento del encargo hecho por la Honorable Mesa Directiva de la Comisión Primera Constitucional de la Cámara de Representantes del Congreso de la República y de conformidad con lo establecido en el artículo 156 de la Ley 5ª de 1992</w:t>
      </w:r>
      <w:r w:rsidRPr="00ED06C0">
        <w:rPr>
          <w:rFonts w:ascii="Bookman Old Style" w:hAnsi="Bookman Old Style" w:cs="Arial"/>
          <w:bCs/>
          <w:sz w:val="22"/>
          <w:szCs w:val="22"/>
          <w:lang w:val="es-ES_tradnl"/>
        </w:rPr>
        <w:t>, nos permitimos</w:t>
      </w:r>
      <w:r w:rsidRPr="00F46028">
        <w:rPr>
          <w:rFonts w:ascii="Bookman Old Style" w:hAnsi="Bookman Old Style" w:cs="Arial"/>
          <w:bCs/>
          <w:sz w:val="22"/>
          <w:szCs w:val="22"/>
          <w:lang w:val="es-ES_tradnl"/>
        </w:rPr>
        <w:t xml:space="preserve"> rendir Informe de Ponencia para </w:t>
      </w:r>
      <w:r>
        <w:rPr>
          <w:rFonts w:ascii="Bookman Old Style" w:hAnsi="Bookman Old Style" w:cs="Arial"/>
          <w:bCs/>
          <w:sz w:val="22"/>
          <w:szCs w:val="22"/>
          <w:lang w:val="es-ES_tradnl"/>
        </w:rPr>
        <w:t xml:space="preserve">segundo </w:t>
      </w:r>
      <w:r w:rsidRPr="00F46028">
        <w:rPr>
          <w:rFonts w:ascii="Bookman Old Style" w:hAnsi="Bookman Old Style" w:cs="Arial"/>
          <w:bCs/>
          <w:sz w:val="22"/>
          <w:szCs w:val="22"/>
          <w:lang w:val="es-ES_tradnl"/>
        </w:rPr>
        <w:t>debate</w:t>
      </w:r>
      <w:r>
        <w:rPr>
          <w:rFonts w:ascii="Bookman Old Style" w:hAnsi="Bookman Old Style" w:cs="Arial"/>
          <w:bCs/>
          <w:sz w:val="22"/>
          <w:szCs w:val="22"/>
          <w:lang w:val="es-ES_tradnl"/>
        </w:rPr>
        <w:t xml:space="preserve"> en segunda vuelta al Proyecto de Acto Legislativo</w:t>
      </w:r>
      <w:r w:rsidRPr="00F46028">
        <w:rPr>
          <w:rFonts w:ascii="Bookman Old Style" w:hAnsi="Bookman Old Style" w:cs="Arial"/>
          <w:bCs/>
          <w:sz w:val="22"/>
          <w:szCs w:val="22"/>
          <w:lang w:val="es-ES_tradnl"/>
        </w:rPr>
        <w:t xml:space="preserve"> número </w:t>
      </w:r>
      <w:r>
        <w:rPr>
          <w:rFonts w:ascii="Bookman Old Style" w:hAnsi="Bookman Old Style" w:cs="Arial"/>
          <w:bCs/>
          <w:sz w:val="22"/>
          <w:szCs w:val="22"/>
          <w:lang w:val="es-ES_tradnl"/>
        </w:rPr>
        <w:t>002 de 2022</w:t>
      </w:r>
      <w:r w:rsidRPr="00F46028">
        <w:rPr>
          <w:rFonts w:ascii="Bookman Old Style" w:hAnsi="Bookman Old Style" w:cs="Arial"/>
          <w:bCs/>
          <w:sz w:val="22"/>
          <w:szCs w:val="22"/>
          <w:lang w:val="es-ES_tradnl"/>
        </w:rPr>
        <w:t xml:space="preserve"> Cámara</w:t>
      </w:r>
      <w:r>
        <w:rPr>
          <w:rFonts w:ascii="Bookman Old Style" w:hAnsi="Bookman Old Style" w:cs="Arial"/>
          <w:bCs/>
          <w:sz w:val="22"/>
          <w:szCs w:val="22"/>
          <w:lang w:val="es-ES_tradnl"/>
        </w:rPr>
        <w:t xml:space="preserve"> - 033 de 2022 Senado</w:t>
      </w:r>
      <w:r w:rsidRPr="00F46028">
        <w:rPr>
          <w:rFonts w:ascii="Bookman Old Style" w:hAnsi="Bookman Old Style" w:cs="Arial"/>
          <w:bCs/>
          <w:sz w:val="22"/>
          <w:szCs w:val="22"/>
          <w:lang w:val="es-ES_tradnl"/>
        </w:rPr>
        <w:t xml:space="preserve">, </w:t>
      </w:r>
      <w:r w:rsidRPr="007E2A01">
        <w:rPr>
          <w:rFonts w:ascii="Bookman Old Style" w:hAnsi="Bookman Old Style" w:cs="Arial"/>
          <w:bCs/>
          <w:sz w:val="22"/>
          <w:szCs w:val="22"/>
        </w:rPr>
        <w:t>“Por medio del cual se modifica el artículo 49 de la Constitución Política de Colombia, se regulariza el cannabis de uso adulto y se dictan otras disposiciones”,</w:t>
      </w:r>
      <w:r>
        <w:rPr>
          <w:rFonts w:ascii="Bookman Old Style" w:hAnsi="Bookman Old Style" w:cs="Arial"/>
          <w:bCs/>
          <w:i/>
          <w:sz w:val="22"/>
          <w:szCs w:val="22"/>
        </w:rPr>
        <w:t xml:space="preserve"> </w:t>
      </w:r>
      <w:r w:rsidRPr="00F46028">
        <w:rPr>
          <w:rFonts w:ascii="Bookman Old Style" w:hAnsi="Bookman Old Style" w:cs="Arial"/>
          <w:sz w:val="22"/>
          <w:szCs w:val="22"/>
          <w:lang w:val="es-ES"/>
        </w:rPr>
        <w:t>con base en las siguie</w:t>
      </w:r>
      <w:r>
        <w:rPr>
          <w:rFonts w:ascii="Bookman Old Style" w:hAnsi="Bookman Old Style" w:cs="Arial"/>
          <w:sz w:val="22"/>
          <w:szCs w:val="22"/>
          <w:lang w:val="es-ES"/>
        </w:rPr>
        <w:t>ntes consideraciones:</w:t>
      </w:r>
    </w:p>
    <w:p w:rsidR="00076757" w:rsidRDefault="00076757" w:rsidP="00076757">
      <w:pPr>
        <w:pStyle w:val="Sinespaciado"/>
        <w:pBdr>
          <w:bottom w:val="single" w:sz="4" w:space="1" w:color="auto"/>
        </w:pBdr>
        <w:tabs>
          <w:tab w:val="left" w:pos="8055"/>
        </w:tabs>
        <w:rPr>
          <w:rFonts w:ascii="Bookman Old Style" w:hAnsi="Bookman Old Style" w:cs="Arial"/>
          <w:b/>
        </w:rPr>
      </w:pPr>
    </w:p>
    <w:p w:rsidR="00076757" w:rsidRDefault="00076757" w:rsidP="00076757">
      <w:pPr>
        <w:pStyle w:val="Sinespaciado"/>
        <w:pBdr>
          <w:bottom w:val="single" w:sz="4" w:space="1" w:color="auto"/>
        </w:pBdr>
        <w:tabs>
          <w:tab w:val="left" w:pos="8055"/>
        </w:tabs>
        <w:rPr>
          <w:rFonts w:ascii="Bookman Old Style" w:hAnsi="Bookman Old Style" w:cs="Arial"/>
          <w:b/>
        </w:rPr>
      </w:pPr>
    </w:p>
    <w:p w:rsidR="00076757" w:rsidRPr="00485CC5" w:rsidRDefault="00076757" w:rsidP="00076757">
      <w:pPr>
        <w:pStyle w:val="Sinespaciado"/>
        <w:pBdr>
          <w:bottom w:val="single" w:sz="4" w:space="1" w:color="auto"/>
        </w:pBdr>
        <w:tabs>
          <w:tab w:val="left" w:pos="8055"/>
        </w:tabs>
        <w:jc w:val="center"/>
        <w:rPr>
          <w:rFonts w:ascii="Bookman Old Style" w:hAnsi="Bookman Old Style" w:cs="Arial"/>
          <w:b/>
        </w:rPr>
      </w:pPr>
      <w:r w:rsidRPr="00485CC5">
        <w:rPr>
          <w:rFonts w:ascii="Bookman Old Style" w:hAnsi="Bookman Old Style" w:cs="Arial"/>
          <w:b/>
        </w:rPr>
        <w:t>EXPOSICIÓN DE MOTIVOS.</w:t>
      </w:r>
    </w:p>
    <w:p w:rsidR="00076757" w:rsidRPr="00485CC5" w:rsidRDefault="00076757" w:rsidP="00076757">
      <w:pPr>
        <w:pStyle w:val="Sinespaciado"/>
        <w:tabs>
          <w:tab w:val="left" w:pos="8055"/>
        </w:tabs>
        <w:jc w:val="center"/>
        <w:rPr>
          <w:rFonts w:ascii="Bookman Old Style" w:hAnsi="Bookman Old Style" w:cs="Arial"/>
          <w:b/>
          <w:sz w:val="28"/>
          <w:szCs w:val="28"/>
        </w:rPr>
      </w:pPr>
    </w:p>
    <w:p w:rsidR="00076757" w:rsidRDefault="00076757" w:rsidP="00076757">
      <w:pPr>
        <w:pBdr>
          <w:top w:val="nil"/>
          <w:left w:val="nil"/>
          <w:bottom w:val="nil"/>
          <w:right w:val="nil"/>
          <w:between w:val="nil"/>
        </w:pBdr>
        <w:ind w:right="115"/>
        <w:rPr>
          <w:rFonts w:ascii="Bookman Old Style" w:eastAsia="Calibri" w:hAnsi="Bookman Old Style" w:cs="Calibri"/>
          <w:b/>
          <w:szCs w:val="24"/>
        </w:rPr>
      </w:pPr>
      <w:r>
        <w:rPr>
          <w:rFonts w:ascii="Bookman Old Style" w:eastAsia="Calibri" w:hAnsi="Bookman Old Style" w:cs="Calibri"/>
          <w:b/>
          <w:szCs w:val="24"/>
        </w:rPr>
        <w:t>CONTENIDO.</w:t>
      </w:r>
    </w:p>
    <w:p w:rsidR="00076757" w:rsidRDefault="00076757" w:rsidP="00076757">
      <w:pPr>
        <w:pBdr>
          <w:top w:val="nil"/>
          <w:left w:val="nil"/>
          <w:bottom w:val="nil"/>
          <w:right w:val="nil"/>
          <w:between w:val="nil"/>
        </w:pBdr>
        <w:ind w:right="115"/>
        <w:rPr>
          <w:rFonts w:ascii="Bookman Old Style" w:eastAsia="Calibri" w:hAnsi="Bookman Old Style" w:cs="Calibri"/>
          <w:b/>
          <w:szCs w:val="24"/>
        </w:rPr>
      </w:pPr>
    </w:p>
    <w:p w:rsidR="00076757" w:rsidRDefault="00076757" w:rsidP="00076757">
      <w:pPr>
        <w:pStyle w:val="Prrafodelista"/>
        <w:numPr>
          <w:ilvl w:val="0"/>
          <w:numId w:val="3"/>
        </w:numPr>
        <w:pBdr>
          <w:top w:val="nil"/>
          <w:left w:val="nil"/>
          <w:bottom w:val="nil"/>
          <w:right w:val="nil"/>
          <w:between w:val="nil"/>
        </w:pBdr>
        <w:ind w:right="115"/>
        <w:rPr>
          <w:rFonts w:ascii="Bookman Old Style" w:eastAsia="Calibri" w:hAnsi="Bookman Old Style" w:cs="Calibri"/>
          <w:bCs/>
          <w:szCs w:val="24"/>
        </w:rPr>
      </w:pPr>
      <w:r>
        <w:rPr>
          <w:rFonts w:ascii="Bookman Old Style" w:eastAsia="Calibri" w:hAnsi="Bookman Old Style" w:cs="Calibri"/>
          <w:bCs/>
          <w:szCs w:val="24"/>
        </w:rPr>
        <w:t>Trámite de la iniciativa.</w:t>
      </w:r>
    </w:p>
    <w:p w:rsidR="00076757" w:rsidRDefault="00076757" w:rsidP="00076757">
      <w:pPr>
        <w:pStyle w:val="Prrafodelista"/>
        <w:numPr>
          <w:ilvl w:val="0"/>
          <w:numId w:val="3"/>
        </w:numPr>
        <w:pBdr>
          <w:top w:val="nil"/>
          <w:left w:val="nil"/>
          <w:bottom w:val="nil"/>
          <w:right w:val="nil"/>
          <w:between w:val="nil"/>
        </w:pBdr>
        <w:ind w:right="115"/>
        <w:rPr>
          <w:rFonts w:ascii="Bookman Old Style" w:eastAsia="Calibri" w:hAnsi="Bookman Old Style" w:cs="Calibri"/>
          <w:bCs/>
          <w:szCs w:val="24"/>
        </w:rPr>
      </w:pPr>
      <w:r>
        <w:rPr>
          <w:rFonts w:ascii="Bookman Old Style" w:eastAsia="Calibri" w:hAnsi="Bookman Old Style" w:cs="Calibri"/>
          <w:bCs/>
          <w:szCs w:val="24"/>
        </w:rPr>
        <w:t>Antecedentes del Proyecto.</w:t>
      </w:r>
    </w:p>
    <w:p w:rsidR="00076757" w:rsidRPr="00647748" w:rsidRDefault="00076757" w:rsidP="00076757">
      <w:pPr>
        <w:pStyle w:val="Prrafodelista"/>
        <w:numPr>
          <w:ilvl w:val="0"/>
          <w:numId w:val="3"/>
        </w:numPr>
        <w:pBdr>
          <w:top w:val="nil"/>
          <w:left w:val="nil"/>
          <w:bottom w:val="nil"/>
          <w:right w:val="nil"/>
          <w:between w:val="nil"/>
        </w:pBdr>
        <w:ind w:right="115"/>
        <w:rPr>
          <w:rFonts w:ascii="Bookman Old Style" w:eastAsia="Calibri" w:hAnsi="Bookman Old Style" w:cs="Calibri"/>
          <w:bCs/>
          <w:szCs w:val="24"/>
        </w:rPr>
      </w:pPr>
      <w:r w:rsidRPr="00647748">
        <w:rPr>
          <w:rFonts w:ascii="Bookman Old Style" w:eastAsia="Calibri" w:hAnsi="Bookman Old Style" w:cs="Calibri"/>
          <w:bCs/>
          <w:szCs w:val="24"/>
        </w:rPr>
        <w:t>Objeto del Proyecto de Acto Legislativo.</w:t>
      </w:r>
    </w:p>
    <w:p w:rsidR="00076757" w:rsidRPr="00647748" w:rsidRDefault="00076757" w:rsidP="00076757">
      <w:pPr>
        <w:pStyle w:val="Prrafodelista"/>
        <w:numPr>
          <w:ilvl w:val="0"/>
          <w:numId w:val="3"/>
        </w:numPr>
        <w:pBdr>
          <w:top w:val="nil"/>
          <w:left w:val="nil"/>
          <w:bottom w:val="nil"/>
          <w:right w:val="nil"/>
          <w:between w:val="nil"/>
        </w:pBdr>
        <w:ind w:right="115"/>
        <w:rPr>
          <w:rFonts w:ascii="Bookman Old Style" w:eastAsia="Calibri" w:hAnsi="Bookman Old Style" w:cs="Calibri"/>
          <w:bCs/>
          <w:szCs w:val="24"/>
        </w:rPr>
      </w:pPr>
      <w:r w:rsidRPr="00647748">
        <w:rPr>
          <w:rFonts w:ascii="Bookman Old Style" w:eastAsia="Calibri" w:hAnsi="Bookman Old Style" w:cs="Calibri"/>
          <w:bCs/>
          <w:szCs w:val="24"/>
        </w:rPr>
        <w:t>Problema a resolver.</w:t>
      </w:r>
    </w:p>
    <w:p w:rsidR="00076757" w:rsidRPr="00647748" w:rsidRDefault="00076757" w:rsidP="00076757">
      <w:pPr>
        <w:pStyle w:val="Prrafodelista"/>
        <w:numPr>
          <w:ilvl w:val="0"/>
          <w:numId w:val="3"/>
        </w:numPr>
        <w:pBdr>
          <w:top w:val="nil"/>
          <w:left w:val="nil"/>
          <w:bottom w:val="nil"/>
          <w:right w:val="nil"/>
          <w:between w:val="nil"/>
        </w:pBdr>
        <w:ind w:right="115"/>
        <w:rPr>
          <w:rFonts w:ascii="Bookman Old Style" w:eastAsia="Calibri" w:hAnsi="Bookman Old Style" w:cs="Calibri"/>
          <w:bCs/>
          <w:szCs w:val="24"/>
        </w:rPr>
      </w:pPr>
      <w:r w:rsidRPr="00647748">
        <w:rPr>
          <w:rFonts w:ascii="Bookman Old Style" w:eastAsia="Calibri" w:hAnsi="Bookman Old Style" w:cs="Calibri"/>
          <w:bCs/>
          <w:szCs w:val="24"/>
        </w:rPr>
        <w:lastRenderedPageBreak/>
        <w:t>Antecedentes</w:t>
      </w:r>
      <w:r>
        <w:rPr>
          <w:rFonts w:ascii="Bookman Old Style" w:eastAsia="Calibri" w:hAnsi="Bookman Old Style" w:cs="Calibri"/>
          <w:bCs/>
          <w:szCs w:val="24"/>
        </w:rPr>
        <w:t>.</w:t>
      </w:r>
      <w:r w:rsidRPr="00647748">
        <w:rPr>
          <w:rFonts w:ascii="Bookman Old Style" w:eastAsia="Calibri" w:hAnsi="Bookman Old Style" w:cs="Calibri"/>
          <w:bCs/>
          <w:szCs w:val="24"/>
        </w:rPr>
        <w:br/>
      </w:r>
      <w:r>
        <w:rPr>
          <w:rFonts w:ascii="Bookman Old Style" w:eastAsia="Calibri" w:hAnsi="Bookman Old Style" w:cs="Calibri"/>
          <w:bCs/>
          <w:szCs w:val="24"/>
        </w:rPr>
        <w:t>5</w:t>
      </w:r>
      <w:r w:rsidRPr="00647748">
        <w:rPr>
          <w:rFonts w:ascii="Bookman Old Style" w:eastAsia="Calibri" w:hAnsi="Bookman Old Style" w:cs="Calibri"/>
          <w:bCs/>
          <w:szCs w:val="24"/>
        </w:rPr>
        <w:t>.1 Antecedentes Jurídicos y normativos sobre la materia en Colombia</w:t>
      </w:r>
      <w:r>
        <w:rPr>
          <w:rFonts w:ascii="Bookman Old Style" w:eastAsia="Calibri" w:hAnsi="Bookman Old Style" w:cs="Calibri"/>
          <w:bCs/>
          <w:szCs w:val="24"/>
        </w:rPr>
        <w:t>.</w:t>
      </w:r>
      <w:r w:rsidRPr="00647748">
        <w:rPr>
          <w:rFonts w:ascii="Bookman Old Style" w:eastAsia="Calibri" w:hAnsi="Bookman Old Style" w:cs="Calibri"/>
          <w:bCs/>
          <w:szCs w:val="24"/>
        </w:rPr>
        <w:br/>
      </w:r>
      <w:r>
        <w:rPr>
          <w:rFonts w:ascii="Bookman Old Style" w:eastAsia="Calibri" w:hAnsi="Bookman Old Style" w:cs="Calibri"/>
          <w:bCs/>
          <w:szCs w:val="24"/>
        </w:rPr>
        <w:t>5</w:t>
      </w:r>
      <w:r w:rsidRPr="00647748">
        <w:rPr>
          <w:rFonts w:ascii="Bookman Old Style" w:eastAsia="Calibri" w:hAnsi="Bookman Old Style" w:cs="Calibri"/>
          <w:bCs/>
          <w:szCs w:val="24"/>
        </w:rPr>
        <w:t>.2 Postura actual frente al uso del cannabis a nivel internacional</w:t>
      </w:r>
      <w:r>
        <w:rPr>
          <w:rFonts w:ascii="Bookman Old Style" w:eastAsia="Calibri" w:hAnsi="Bookman Old Style" w:cs="Calibri"/>
          <w:bCs/>
          <w:szCs w:val="24"/>
        </w:rPr>
        <w:t>.</w:t>
      </w:r>
      <w:r w:rsidRPr="00647748">
        <w:rPr>
          <w:rFonts w:ascii="Bookman Old Style" w:eastAsia="Calibri" w:hAnsi="Bookman Old Style" w:cs="Calibri"/>
          <w:bCs/>
          <w:szCs w:val="24"/>
        </w:rPr>
        <w:br/>
      </w:r>
      <w:r>
        <w:rPr>
          <w:rFonts w:ascii="Bookman Old Style" w:eastAsia="Calibri" w:hAnsi="Bookman Old Style" w:cs="Calibri"/>
          <w:bCs/>
          <w:szCs w:val="24"/>
        </w:rPr>
        <w:t>5</w:t>
      </w:r>
      <w:r w:rsidRPr="00647748">
        <w:rPr>
          <w:rFonts w:ascii="Bookman Old Style" w:eastAsia="Calibri" w:hAnsi="Bookman Old Style" w:cs="Calibri"/>
          <w:bCs/>
          <w:szCs w:val="24"/>
        </w:rPr>
        <w:t>.2.1 Impacto económico de la regulación</w:t>
      </w:r>
      <w:r>
        <w:rPr>
          <w:rFonts w:ascii="Bookman Old Style" w:eastAsia="Calibri" w:hAnsi="Bookman Old Style" w:cs="Calibri"/>
          <w:bCs/>
          <w:szCs w:val="24"/>
        </w:rPr>
        <w:t xml:space="preserve"> en el caso</w:t>
      </w:r>
      <w:r w:rsidRPr="00647748">
        <w:rPr>
          <w:rFonts w:ascii="Bookman Old Style" w:eastAsia="Calibri" w:hAnsi="Bookman Old Style" w:cs="Calibri"/>
          <w:bCs/>
          <w:szCs w:val="24"/>
        </w:rPr>
        <w:t xml:space="preserve"> internacional</w:t>
      </w:r>
      <w:r>
        <w:rPr>
          <w:rFonts w:ascii="Bookman Old Style" w:eastAsia="Calibri" w:hAnsi="Bookman Old Style" w:cs="Calibri"/>
          <w:bCs/>
          <w:szCs w:val="24"/>
        </w:rPr>
        <w:t>.</w:t>
      </w:r>
    </w:p>
    <w:p w:rsidR="00076757" w:rsidRDefault="00076757" w:rsidP="00076757">
      <w:pPr>
        <w:pStyle w:val="Prrafodelista"/>
        <w:numPr>
          <w:ilvl w:val="0"/>
          <w:numId w:val="3"/>
        </w:numPr>
        <w:pBdr>
          <w:top w:val="nil"/>
          <w:left w:val="nil"/>
          <w:bottom w:val="nil"/>
          <w:right w:val="nil"/>
          <w:between w:val="nil"/>
        </w:pBdr>
        <w:ind w:right="115"/>
        <w:rPr>
          <w:rFonts w:ascii="Bookman Old Style" w:eastAsia="Calibri" w:hAnsi="Bookman Old Style" w:cs="Calibri"/>
          <w:bCs/>
          <w:szCs w:val="24"/>
        </w:rPr>
      </w:pPr>
      <w:r>
        <w:rPr>
          <w:rFonts w:ascii="Bookman Old Style" w:eastAsia="Calibri" w:hAnsi="Bookman Old Style" w:cs="Calibri"/>
          <w:bCs/>
          <w:szCs w:val="24"/>
        </w:rPr>
        <w:t>Impacto Económico de la Industria del Cannabis Medicinal en Colombia.</w:t>
      </w:r>
    </w:p>
    <w:p w:rsidR="00076757" w:rsidRDefault="00076757" w:rsidP="00076757">
      <w:pPr>
        <w:pStyle w:val="Prrafodelista"/>
        <w:numPr>
          <w:ilvl w:val="0"/>
          <w:numId w:val="3"/>
        </w:numPr>
        <w:pBdr>
          <w:top w:val="nil"/>
          <w:left w:val="nil"/>
          <w:bottom w:val="nil"/>
          <w:right w:val="nil"/>
          <w:between w:val="nil"/>
        </w:pBdr>
        <w:ind w:right="115"/>
        <w:rPr>
          <w:rFonts w:ascii="Bookman Old Style" w:eastAsia="Calibri" w:hAnsi="Bookman Old Style" w:cs="Calibri"/>
          <w:bCs/>
          <w:szCs w:val="24"/>
        </w:rPr>
      </w:pPr>
      <w:r w:rsidRPr="00114CF9">
        <w:rPr>
          <w:rFonts w:ascii="Bookman Old Style" w:eastAsia="Calibri" w:hAnsi="Bookman Old Style" w:cs="Calibri"/>
          <w:bCs/>
          <w:szCs w:val="24"/>
        </w:rPr>
        <w:t>Regulación de estupefacientes en Colombia: análisis constitucional y legal.</w:t>
      </w:r>
      <w:r w:rsidRPr="00114CF9">
        <w:rPr>
          <w:rFonts w:ascii="Bookman Old Style" w:eastAsia="Calibri" w:hAnsi="Bookman Old Style" w:cs="Calibri"/>
          <w:bCs/>
          <w:szCs w:val="24"/>
        </w:rPr>
        <w:br/>
      </w:r>
      <w:r>
        <w:rPr>
          <w:rFonts w:ascii="Bookman Old Style" w:eastAsia="Calibri" w:hAnsi="Bookman Old Style" w:cs="Calibri"/>
          <w:bCs/>
          <w:szCs w:val="24"/>
        </w:rPr>
        <w:t>7</w:t>
      </w:r>
      <w:r w:rsidRPr="00114CF9">
        <w:rPr>
          <w:rFonts w:ascii="Bookman Old Style" w:eastAsia="Calibri" w:hAnsi="Bookman Old Style" w:cs="Calibri"/>
          <w:bCs/>
          <w:szCs w:val="24"/>
        </w:rPr>
        <w:t>.1 Prohibición vs. Derechos fundamentales.</w:t>
      </w:r>
      <w:r w:rsidRPr="00114CF9">
        <w:rPr>
          <w:rFonts w:ascii="Bookman Old Style" w:eastAsia="Calibri" w:hAnsi="Bookman Old Style" w:cs="Calibri"/>
          <w:bCs/>
          <w:szCs w:val="24"/>
        </w:rPr>
        <w:br/>
      </w:r>
      <w:r>
        <w:rPr>
          <w:rFonts w:ascii="Bookman Old Style" w:eastAsia="Calibri" w:hAnsi="Bookman Old Style" w:cs="Calibri"/>
          <w:bCs/>
          <w:szCs w:val="24"/>
        </w:rPr>
        <w:t>7</w:t>
      </w:r>
      <w:r w:rsidRPr="00114CF9">
        <w:rPr>
          <w:rFonts w:ascii="Bookman Old Style" w:eastAsia="Calibri" w:hAnsi="Bookman Old Style" w:cs="Calibri"/>
          <w:bCs/>
          <w:szCs w:val="24"/>
        </w:rPr>
        <w:t>.1.1 Derecho al libre desarrollo de la personalidad.</w:t>
      </w:r>
      <w:r w:rsidRPr="00114CF9">
        <w:rPr>
          <w:rFonts w:ascii="Bookman Old Style" w:eastAsia="Calibri" w:hAnsi="Bookman Old Style" w:cs="Calibri"/>
          <w:bCs/>
          <w:szCs w:val="24"/>
        </w:rPr>
        <w:br/>
      </w:r>
      <w:r>
        <w:rPr>
          <w:rFonts w:ascii="Bookman Old Style" w:eastAsia="Calibri" w:hAnsi="Bookman Old Style" w:cs="Calibri"/>
          <w:bCs/>
          <w:szCs w:val="24"/>
        </w:rPr>
        <w:t>7</w:t>
      </w:r>
      <w:r w:rsidRPr="00114CF9">
        <w:rPr>
          <w:rFonts w:ascii="Bookman Old Style" w:eastAsia="Calibri" w:hAnsi="Bookman Old Style" w:cs="Calibri"/>
          <w:bCs/>
          <w:szCs w:val="24"/>
        </w:rPr>
        <w:t>.1.2 Derecho a la igualdad.</w:t>
      </w:r>
      <w:r w:rsidRPr="00114CF9">
        <w:rPr>
          <w:rFonts w:ascii="Bookman Old Style" w:eastAsia="Calibri" w:hAnsi="Bookman Old Style" w:cs="Calibri"/>
          <w:bCs/>
          <w:szCs w:val="24"/>
        </w:rPr>
        <w:br/>
      </w:r>
      <w:r>
        <w:rPr>
          <w:rFonts w:ascii="Bookman Old Style" w:eastAsia="Calibri" w:hAnsi="Bookman Old Style" w:cs="Calibri"/>
          <w:bCs/>
          <w:szCs w:val="24"/>
        </w:rPr>
        <w:t>7</w:t>
      </w:r>
      <w:r w:rsidRPr="00114CF9">
        <w:rPr>
          <w:rFonts w:ascii="Bookman Old Style" w:eastAsia="Calibri" w:hAnsi="Bookman Old Style" w:cs="Calibri"/>
          <w:bCs/>
          <w:szCs w:val="24"/>
        </w:rPr>
        <w:t>.1.3 Derecho a la salud.</w:t>
      </w:r>
      <w:r w:rsidRPr="00114CF9">
        <w:rPr>
          <w:rFonts w:ascii="Bookman Old Style" w:eastAsia="Calibri" w:hAnsi="Bookman Old Style" w:cs="Calibri"/>
          <w:bCs/>
          <w:szCs w:val="24"/>
        </w:rPr>
        <w:br/>
      </w:r>
      <w:r>
        <w:rPr>
          <w:rFonts w:ascii="Bookman Old Style" w:eastAsia="Calibri" w:hAnsi="Bookman Old Style" w:cs="Calibri"/>
          <w:bCs/>
          <w:szCs w:val="24"/>
        </w:rPr>
        <w:t>7</w:t>
      </w:r>
      <w:r w:rsidRPr="00114CF9">
        <w:rPr>
          <w:rFonts w:ascii="Bookman Old Style" w:eastAsia="Calibri" w:hAnsi="Bookman Old Style" w:cs="Calibri"/>
          <w:bCs/>
          <w:szCs w:val="24"/>
        </w:rPr>
        <w:t>.2 Análisis constitucional de la regulación actual frente al porte y consumo de estupefacientes.</w:t>
      </w:r>
      <w:r w:rsidRPr="00114CF9">
        <w:rPr>
          <w:rFonts w:ascii="Bookman Old Style" w:eastAsia="Calibri" w:hAnsi="Bookman Old Style" w:cs="Calibri"/>
          <w:bCs/>
          <w:szCs w:val="24"/>
        </w:rPr>
        <w:br/>
      </w:r>
      <w:r>
        <w:rPr>
          <w:rFonts w:ascii="Bookman Old Style" w:eastAsia="Calibri" w:hAnsi="Bookman Old Style" w:cs="Calibri"/>
          <w:bCs/>
          <w:szCs w:val="24"/>
        </w:rPr>
        <w:t>7</w:t>
      </w:r>
      <w:r w:rsidRPr="00114CF9">
        <w:rPr>
          <w:rFonts w:ascii="Bookman Old Style" w:eastAsia="Calibri" w:hAnsi="Bookman Old Style" w:cs="Calibri"/>
          <w:bCs/>
          <w:szCs w:val="24"/>
        </w:rPr>
        <w:t xml:space="preserve">.2.1 Afectación del derecho a la salud por el consumo de sustancias </w:t>
      </w:r>
      <w:r>
        <w:rPr>
          <w:rFonts w:ascii="Bookman Old Style" w:eastAsia="Calibri" w:hAnsi="Bookman Old Style" w:cs="Calibri"/>
          <w:bCs/>
          <w:szCs w:val="24"/>
        </w:rPr>
        <w:t>psicoactivas</w:t>
      </w:r>
      <w:r w:rsidRPr="00114CF9">
        <w:rPr>
          <w:rFonts w:ascii="Bookman Old Style" w:eastAsia="Calibri" w:hAnsi="Bookman Old Style" w:cs="Calibri"/>
          <w:bCs/>
          <w:szCs w:val="24"/>
        </w:rPr>
        <w:t>.</w:t>
      </w:r>
    </w:p>
    <w:p w:rsidR="00076757" w:rsidRDefault="00076757" w:rsidP="00076757">
      <w:pPr>
        <w:pStyle w:val="Prrafodelista"/>
        <w:pBdr>
          <w:top w:val="nil"/>
          <w:left w:val="nil"/>
          <w:bottom w:val="nil"/>
          <w:right w:val="nil"/>
          <w:between w:val="nil"/>
        </w:pBdr>
        <w:ind w:left="360" w:right="115"/>
        <w:rPr>
          <w:rFonts w:ascii="Bookman Old Style" w:eastAsia="Calibri" w:hAnsi="Bookman Old Style" w:cs="Calibri"/>
          <w:bCs/>
          <w:szCs w:val="24"/>
        </w:rPr>
      </w:pPr>
      <w:r>
        <w:rPr>
          <w:rFonts w:ascii="Bookman Old Style" w:eastAsia="Calibri" w:hAnsi="Bookman Old Style" w:cs="Calibri"/>
          <w:bCs/>
          <w:szCs w:val="24"/>
        </w:rPr>
        <w:t>7.2.1.1 Frente al daño al consumidor.</w:t>
      </w:r>
    </w:p>
    <w:p w:rsidR="00076757" w:rsidRDefault="00076757" w:rsidP="00076757">
      <w:pPr>
        <w:pStyle w:val="Prrafodelista"/>
        <w:pBdr>
          <w:top w:val="nil"/>
          <w:left w:val="nil"/>
          <w:bottom w:val="nil"/>
          <w:right w:val="nil"/>
          <w:between w:val="nil"/>
        </w:pBdr>
        <w:ind w:left="360" w:right="115"/>
        <w:rPr>
          <w:rFonts w:ascii="Bookman Old Style" w:eastAsia="Calibri" w:hAnsi="Bookman Old Style" w:cs="Calibri"/>
          <w:bCs/>
          <w:szCs w:val="24"/>
        </w:rPr>
      </w:pPr>
      <w:r>
        <w:rPr>
          <w:rFonts w:ascii="Bookman Old Style" w:eastAsia="Calibri" w:hAnsi="Bookman Old Style" w:cs="Calibri"/>
          <w:bCs/>
          <w:szCs w:val="24"/>
        </w:rPr>
        <w:t>7.2.1.2 Frente a la probabilidad de desarrollar trastornos asociados al consumo.</w:t>
      </w:r>
    </w:p>
    <w:p w:rsidR="00076757" w:rsidRDefault="00076757" w:rsidP="00076757">
      <w:pPr>
        <w:pStyle w:val="Prrafodelista"/>
        <w:pBdr>
          <w:top w:val="nil"/>
          <w:left w:val="nil"/>
          <w:bottom w:val="nil"/>
          <w:right w:val="nil"/>
          <w:between w:val="nil"/>
        </w:pBdr>
        <w:ind w:left="360" w:right="115"/>
        <w:rPr>
          <w:rFonts w:ascii="Bookman Old Style" w:eastAsia="Calibri" w:hAnsi="Bookman Old Style" w:cs="Calibri"/>
          <w:bCs/>
          <w:szCs w:val="24"/>
        </w:rPr>
      </w:pPr>
      <w:r>
        <w:rPr>
          <w:rFonts w:ascii="Bookman Old Style" w:eastAsia="Calibri" w:hAnsi="Bookman Old Style" w:cs="Calibri"/>
          <w:bCs/>
          <w:szCs w:val="24"/>
        </w:rPr>
        <w:t>7.2.1.3 Frente al aumento del consumo por regulación.</w:t>
      </w:r>
    </w:p>
    <w:p w:rsidR="00076757" w:rsidRPr="00114CF9" w:rsidRDefault="00076757" w:rsidP="00076757">
      <w:pPr>
        <w:pStyle w:val="Prrafodelista"/>
        <w:pBdr>
          <w:top w:val="nil"/>
          <w:left w:val="nil"/>
          <w:bottom w:val="nil"/>
          <w:right w:val="nil"/>
          <w:between w:val="nil"/>
        </w:pBdr>
        <w:ind w:left="360" w:right="115"/>
        <w:rPr>
          <w:rFonts w:ascii="Bookman Old Style" w:eastAsia="Calibri" w:hAnsi="Bookman Old Style" w:cs="Calibri"/>
          <w:bCs/>
          <w:szCs w:val="24"/>
        </w:rPr>
      </w:pPr>
      <w:r>
        <w:rPr>
          <w:rFonts w:ascii="Bookman Old Style" w:eastAsia="Calibri" w:hAnsi="Bookman Old Style" w:cs="Calibri"/>
          <w:bCs/>
          <w:szCs w:val="24"/>
        </w:rPr>
        <w:t>7.2.1.4 Frente al aumento de violencia por consumo de cannabis.</w:t>
      </w:r>
      <w:r w:rsidRPr="00114CF9">
        <w:rPr>
          <w:rFonts w:ascii="Bookman Old Style" w:eastAsia="Calibri" w:hAnsi="Bookman Old Style" w:cs="Calibri"/>
          <w:bCs/>
          <w:szCs w:val="24"/>
        </w:rPr>
        <w:br/>
      </w:r>
      <w:r>
        <w:rPr>
          <w:rFonts w:ascii="Bookman Old Style" w:eastAsia="Calibri" w:hAnsi="Bookman Old Style" w:cs="Calibri"/>
          <w:bCs/>
          <w:szCs w:val="24"/>
        </w:rPr>
        <w:t>7</w:t>
      </w:r>
      <w:r w:rsidRPr="00114CF9">
        <w:rPr>
          <w:rFonts w:ascii="Bookman Old Style" w:eastAsia="Calibri" w:hAnsi="Bookman Old Style" w:cs="Calibri"/>
          <w:bCs/>
          <w:szCs w:val="24"/>
        </w:rPr>
        <w:t>.2.2 Regularización exclusiva del cannabis.</w:t>
      </w:r>
      <w:r w:rsidRPr="00114CF9">
        <w:rPr>
          <w:rFonts w:ascii="Bookman Old Style" w:eastAsia="Calibri" w:hAnsi="Bookman Old Style" w:cs="Calibri"/>
          <w:bCs/>
          <w:szCs w:val="24"/>
        </w:rPr>
        <w:br/>
      </w:r>
      <w:r>
        <w:rPr>
          <w:rFonts w:ascii="Bookman Old Style" w:eastAsia="Calibri" w:hAnsi="Bookman Old Style" w:cs="Calibri"/>
          <w:bCs/>
          <w:szCs w:val="24"/>
        </w:rPr>
        <w:t>7</w:t>
      </w:r>
      <w:r w:rsidRPr="00114CF9">
        <w:rPr>
          <w:rFonts w:ascii="Bookman Old Style" w:eastAsia="Calibri" w:hAnsi="Bookman Old Style" w:cs="Calibri"/>
          <w:bCs/>
          <w:szCs w:val="24"/>
        </w:rPr>
        <w:t>.2.3 Juicio integrado de igualdad.</w:t>
      </w:r>
    </w:p>
    <w:p w:rsidR="00076757" w:rsidRPr="002B6B8C" w:rsidRDefault="00076757" w:rsidP="00076757">
      <w:pPr>
        <w:pStyle w:val="Prrafodelista"/>
        <w:numPr>
          <w:ilvl w:val="0"/>
          <w:numId w:val="3"/>
        </w:numPr>
        <w:pBdr>
          <w:top w:val="nil"/>
          <w:left w:val="nil"/>
          <w:bottom w:val="nil"/>
          <w:right w:val="nil"/>
          <w:between w:val="nil"/>
        </w:pBdr>
        <w:ind w:right="115"/>
        <w:rPr>
          <w:rFonts w:ascii="Bookman Old Style" w:eastAsia="Calibri" w:hAnsi="Bookman Old Style" w:cs="Calibri"/>
          <w:bCs/>
          <w:szCs w:val="24"/>
        </w:rPr>
      </w:pPr>
      <w:r w:rsidRPr="002B6B8C">
        <w:rPr>
          <w:rFonts w:ascii="Bookman Old Style" w:eastAsia="Calibri" w:hAnsi="Bookman Old Style" w:cs="Calibri"/>
          <w:bCs/>
          <w:szCs w:val="24"/>
        </w:rPr>
        <w:t>Análisis de la afectividad de la política de criminalización del porte y consumo de drogas.</w:t>
      </w:r>
    </w:p>
    <w:p w:rsidR="00076757" w:rsidRDefault="00076757" w:rsidP="00076757">
      <w:pPr>
        <w:pStyle w:val="Prrafodelista"/>
        <w:numPr>
          <w:ilvl w:val="0"/>
          <w:numId w:val="3"/>
        </w:numPr>
        <w:pBdr>
          <w:top w:val="nil"/>
          <w:left w:val="nil"/>
          <w:bottom w:val="nil"/>
          <w:right w:val="nil"/>
          <w:between w:val="nil"/>
        </w:pBdr>
        <w:ind w:right="115"/>
        <w:rPr>
          <w:rFonts w:ascii="Bookman Old Style" w:eastAsia="Calibri" w:hAnsi="Bookman Old Style" w:cs="Calibri"/>
          <w:bCs/>
          <w:szCs w:val="24"/>
        </w:rPr>
      </w:pPr>
      <w:r w:rsidRPr="00647748">
        <w:rPr>
          <w:rFonts w:ascii="Bookman Old Style" w:eastAsia="Calibri" w:hAnsi="Bookman Old Style" w:cs="Calibri"/>
          <w:bCs/>
          <w:szCs w:val="24"/>
        </w:rPr>
        <w:t>Conclusiones</w:t>
      </w:r>
      <w:r>
        <w:rPr>
          <w:rFonts w:ascii="Bookman Old Style" w:eastAsia="Calibri" w:hAnsi="Bookman Old Style" w:cs="Calibri"/>
          <w:bCs/>
          <w:szCs w:val="24"/>
        </w:rPr>
        <w:t>.</w:t>
      </w:r>
    </w:p>
    <w:p w:rsidR="00076757" w:rsidRDefault="00076757" w:rsidP="00076757">
      <w:pPr>
        <w:pStyle w:val="Prrafodelista"/>
        <w:numPr>
          <w:ilvl w:val="0"/>
          <w:numId w:val="3"/>
        </w:numPr>
        <w:pBdr>
          <w:top w:val="nil"/>
          <w:left w:val="nil"/>
          <w:bottom w:val="nil"/>
          <w:right w:val="nil"/>
          <w:between w:val="nil"/>
        </w:pBdr>
        <w:ind w:right="115"/>
        <w:rPr>
          <w:rFonts w:ascii="Bookman Old Style" w:eastAsia="Calibri" w:hAnsi="Bookman Old Style" w:cs="Calibri"/>
          <w:bCs/>
          <w:szCs w:val="24"/>
        </w:rPr>
      </w:pPr>
      <w:r>
        <w:rPr>
          <w:rFonts w:ascii="Bookman Old Style" w:eastAsia="Calibri" w:hAnsi="Bookman Old Style" w:cs="Calibri"/>
          <w:bCs/>
          <w:szCs w:val="24"/>
        </w:rPr>
        <w:t>Competencia del Congreso.</w:t>
      </w:r>
    </w:p>
    <w:p w:rsidR="00076757" w:rsidRDefault="00076757" w:rsidP="00076757">
      <w:pPr>
        <w:pStyle w:val="Prrafodelista"/>
        <w:numPr>
          <w:ilvl w:val="1"/>
          <w:numId w:val="3"/>
        </w:numPr>
        <w:pBdr>
          <w:top w:val="nil"/>
          <w:left w:val="nil"/>
          <w:bottom w:val="nil"/>
          <w:right w:val="nil"/>
          <w:between w:val="nil"/>
        </w:pBdr>
        <w:ind w:left="993" w:right="115" w:hanging="633"/>
        <w:rPr>
          <w:rFonts w:ascii="Bookman Old Style" w:eastAsia="Calibri" w:hAnsi="Bookman Old Style" w:cs="Calibri"/>
          <w:bCs/>
          <w:szCs w:val="24"/>
        </w:rPr>
      </w:pPr>
      <w:r>
        <w:rPr>
          <w:rFonts w:ascii="Bookman Old Style" w:eastAsia="Calibri" w:hAnsi="Bookman Old Style" w:cs="Calibri"/>
          <w:bCs/>
          <w:szCs w:val="24"/>
        </w:rPr>
        <w:t>Constitucional.</w:t>
      </w:r>
    </w:p>
    <w:p w:rsidR="00076757" w:rsidRDefault="00076757" w:rsidP="00076757">
      <w:pPr>
        <w:pStyle w:val="Prrafodelista"/>
        <w:numPr>
          <w:ilvl w:val="1"/>
          <w:numId w:val="3"/>
        </w:numPr>
        <w:pBdr>
          <w:top w:val="nil"/>
          <w:left w:val="nil"/>
          <w:bottom w:val="nil"/>
          <w:right w:val="nil"/>
          <w:between w:val="nil"/>
        </w:pBdr>
        <w:ind w:left="993" w:right="115" w:hanging="633"/>
        <w:rPr>
          <w:rFonts w:ascii="Bookman Old Style" w:eastAsia="Calibri" w:hAnsi="Bookman Old Style" w:cs="Calibri"/>
          <w:bCs/>
          <w:szCs w:val="24"/>
        </w:rPr>
      </w:pPr>
      <w:r>
        <w:rPr>
          <w:rFonts w:ascii="Bookman Old Style" w:eastAsia="Calibri" w:hAnsi="Bookman Old Style" w:cs="Calibri"/>
          <w:bCs/>
          <w:szCs w:val="24"/>
        </w:rPr>
        <w:t>Legal.</w:t>
      </w:r>
    </w:p>
    <w:p w:rsidR="00076757" w:rsidRDefault="00076757" w:rsidP="00076757">
      <w:pPr>
        <w:pStyle w:val="Prrafodelista"/>
        <w:numPr>
          <w:ilvl w:val="0"/>
          <w:numId w:val="3"/>
        </w:numPr>
        <w:pBdr>
          <w:top w:val="nil"/>
          <w:left w:val="nil"/>
          <w:bottom w:val="nil"/>
          <w:right w:val="nil"/>
          <w:between w:val="nil"/>
        </w:pBdr>
        <w:ind w:right="115"/>
        <w:rPr>
          <w:rFonts w:ascii="Bookman Old Style" w:eastAsia="Calibri" w:hAnsi="Bookman Old Style" w:cs="Calibri"/>
          <w:bCs/>
          <w:szCs w:val="24"/>
        </w:rPr>
      </w:pPr>
      <w:r>
        <w:rPr>
          <w:rFonts w:ascii="Bookman Old Style" w:eastAsia="Calibri" w:hAnsi="Bookman Old Style" w:cs="Calibri"/>
          <w:bCs/>
          <w:szCs w:val="24"/>
        </w:rPr>
        <w:t>Conflictos de Interés.</w:t>
      </w:r>
    </w:p>
    <w:p w:rsidR="008A7DAF" w:rsidRPr="008A7DAF" w:rsidRDefault="008A7DAF" w:rsidP="008A7DAF">
      <w:pPr>
        <w:pStyle w:val="Prrafodelista"/>
        <w:numPr>
          <w:ilvl w:val="0"/>
          <w:numId w:val="3"/>
        </w:numPr>
        <w:rPr>
          <w:rFonts w:ascii="Bookman Old Style" w:eastAsia="Calibri" w:hAnsi="Bookman Old Style"/>
          <w:bCs/>
        </w:rPr>
      </w:pPr>
      <w:r>
        <w:rPr>
          <w:rFonts w:ascii="Bookman Old Style" w:eastAsia="Calibri" w:hAnsi="Bookman Old Style"/>
          <w:bCs/>
        </w:rPr>
        <w:t xml:space="preserve"> Texto aprobado en la Comisión P</w:t>
      </w:r>
      <w:r w:rsidRPr="008A7DAF">
        <w:rPr>
          <w:rFonts w:ascii="Bookman Old Style" w:eastAsia="Calibri" w:hAnsi="Bookman Old Style"/>
          <w:bCs/>
        </w:rPr>
        <w:t xml:space="preserve">rimera de la </w:t>
      </w:r>
      <w:r>
        <w:rPr>
          <w:rFonts w:ascii="Bookman Old Style" w:eastAsia="Calibri" w:hAnsi="Bookman Old Style"/>
          <w:bCs/>
        </w:rPr>
        <w:t>Cámara de R</w:t>
      </w:r>
      <w:r w:rsidRPr="008A7DAF">
        <w:rPr>
          <w:rFonts w:ascii="Bookman Old Style" w:eastAsia="Calibri" w:hAnsi="Bookman Old Style"/>
          <w:bCs/>
        </w:rPr>
        <w:t>epresentantes en primer debate,</w:t>
      </w:r>
      <w:r>
        <w:rPr>
          <w:rFonts w:ascii="Bookman Old Style" w:eastAsia="Calibri" w:hAnsi="Bookman Old Style"/>
          <w:bCs/>
        </w:rPr>
        <w:t xml:space="preserve"> segunda vuelta al Proyecto de Acto L</w:t>
      </w:r>
      <w:r w:rsidRPr="008A7DAF">
        <w:rPr>
          <w:rFonts w:ascii="Bookman Old Style" w:eastAsia="Calibri" w:hAnsi="Bookman Old Style"/>
          <w:bCs/>
        </w:rPr>
        <w:t xml:space="preserve">egislativo no. 002 de 2022 cámara - 033 de 2022 senado </w:t>
      </w:r>
    </w:p>
    <w:p w:rsidR="008A7DAF" w:rsidRDefault="008A7DAF" w:rsidP="008A7DAF">
      <w:pPr>
        <w:pStyle w:val="Prrafodelista"/>
        <w:numPr>
          <w:ilvl w:val="0"/>
          <w:numId w:val="3"/>
        </w:numPr>
        <w:rPr>
          <w:rFonts w:ascii="Bookman Old Style" w:eastAsia="Calibri" w:hAnsi="Bookman Old Style" w:cs="Calibri"/>
          <w:bCs/>
          <w:szCs w:val="24"/>
        </w:rPr>
      </w:pPr>
      <w:r>
        <w:rPr>
          <w:rFonts w:ascii="Bookman Old Style" w:eastAsia="Calibri" w:hAnsi="Bookman Old Style" w:cs="Calibri"/>
          <w:bCs/>
          <w:szCs w:val="24"/>
        </w:rPr>
        <w:t xml:space="preserve"> P</w:t>
      </w:r>
      <w:r w:rsidRPr="008A7DAF">
        <w:rPr>
          <w:rFonts w:ascii="Bookman Old Style" w:eastAsia="Calibri" w:hAnsi="Bookman Old Style" w:cs="Calibri"/>
          <w:bCs/>
          <w:szCs w:val="24"/>
        </w:rPr>
        <w:t>roposiciones presentadas en primer debate de segunda vuelta.</w:t>
      </w:r>
    </w:p>
    <w:p w:rsidR="008A7DAF" w:rsidRDefault="008A7DAF" w:rsidP="008A7DAF">
      <w:pPr>
        <w:pStyle w:val="Prrafodelista"/>
        <w:numPr>
          <w:ilvl w:val="0"/>
          <w:numId w:val="3"/>
        </w:numPr>
        <w:rPr>
          <w:rFonts w:ascii="Bookman Old Style" w:eastAsia="Calibri" w:hAnsi="Bookman Old Style" w:cs="Calibri"/>
          <w:bCs/>
          <w:szCs w:val="24"/>
        </w:rPr>
      </w:pPr>
      <w:r>
        <w:rPr>
          <w:rFonts w:ascii="Bookman Old Style" w:eastAsia="Calibri" w:hAnsi="Bookman Old Style" w:cs="Calibri"/>
          <w:bCs/>
          <w:szCs w:val="24"/>
        </w:rPr>
        <w:t xml:space="preserve"> Pliego de Modificaciones</w:t>
      </w:r>
    </w:p>
    <w:p w:rsidR="00EC111C" w:rsidRPr="008A7DAF" w:rsidRDefault="00EC111C" w:rsidP="008A7DAF">
      <w:pPr>
        <w:pStyle w:val="Prrafodelista"/>
        <w:numPr>
          <w:ilvl w:val="0"/>
          <w:numId w:val="3"/>
        </w:numPr>
        <w:rPr>
          <w:rFonts w:ascii="Bookman Old Style" w:eastAsia="Calibri" w:hAnsi="Bookman Old Style" w:cs="Calibri"/>
          <w:bCs/>
          <w:szCs w:val="24"/>
        </w:rPr>
      </w:pPr>
      <w:r>
        <w:rPr>
          <w:rFonts w:ascii="Bookman Old Style" w:eastAsia="Calibri" w:hAnsi="Bookman Old Style" w:cs="Calibri"/>
          <w:bCs/>
          <w:szCs w:val="24"/>
        </w:rPr>
        <w:t>Proposición</w:t>
      </w:r>
    </w:p>
    <w:p w:rsidR="00076757" w:rsidRDefault="00076757" w:rsidP="00076757">
      <w:pPr>
        <w:pStyle w:val="Prrafodelista"/>
        <w:numPr>
          <w:ilvl w:val="0"/>
          <w:numId w:val="3"/>
        </w:numPr>
        <w:pBdr>
          <w:top w:val="nil"/>
          <w:left w:val="nil"/>
          <w:bottom w:val="nil"/>
          <w:right w:val="nil"/>
          <w:between w:val="nil"/>
        </w:pBdr>
        <w:ind w:right="115"/>
        <w:rPr>
          <w:rFonts w:ascii="Bookman Old Style" w:eastAsia="Calibri" w:hAnsi="Bookman Old Style" w:cs="Calibri"/>
          <w:bCs/>
          <w:szCs w:val="24"/>
        </w:rPr>
      </w:pPr>
      <w:r>
        <w:rPr>
          <w:rFonts w:ascii="Bookman Old Style" w:eastAsia="Calibri" w:hAnsi="Bookman Old Style" w:cs="Calibri"/>
          <w:bCs/>
          <w:szCs w:val="24"/>
        </w:rPr>
        <w:t>Texto propuesto para segundo debate de segunda vuelta al Proyecto de Acto Legislativo número 002 de 2022 Cámara // 033 de 2022 Senado.</w:t>
      </w:r>
    </w:p>
    <w:p w:rsidR="00076757" w:rsidRPr="00647748" w:rsidRDefault="00076757" w:rsidP="00076757">
      <w:pPr>
        <w:pStyle w:val="Prrafodelista"/>
        <w:numPr>
          <w:ilvl w:val="0"/>
          <w:numId w:val="3"/>
        </w:numPr>
        <w:pBdr>
          <w:top w:val="nil"/>
          <w:left w:val="nil"/>
          <w:bottom w:val="nil"/>
          <w:right w:val="nil"/>
          <w:between w:val="nil"/>
        </w:pBdr>
        <w:ind w:right="115"/>
        <w:rPr>
          <w:rFonts w:ascii="Bookman Old Style" w:eastAsia="Calibri" w:hAnsi="Bookman Old Style" w:cs="Calibri"/>
          <w:bCs/>
          <w:szCs w:val="24"/>
        </w:rPr>
      </w:pPr>
      <w:r w:rsidRPr="00647748">
        <w:rPr>
          <w:rFonts w:ascii="Bookman Old Style" w:eastAsia="Calibri" w:hAnsi="Bookman Old Style" w:cs="Calibri"/>
          <w:bCs/>
          <w:szCs w:val="24"/>
        </w:rPr>
        <w:t>Referencias</w:t>
      </w:r>
      <w:r>
        <w:rPr>
          <w:rFonts w:ascii="Bookman Old Style" w:eastAsia="Calibri" w:hAnsi="Bookman Old Style" w:cs="Calibri"/>
          <w:bCs/>
          <w:szCs w:val="24"/>
        </w:rPr>
        <w:t>.</w:t>
      </w:r>
    </w:p>
    <w:p w:rsidR="00076757" w:rsidRPr="00485CC5" w:rsidRDefault="00076757" w:rsidP="00076757">
      <w:pPr>
        <w:pBdr>
          <w:top w:val="nil"/>
          <w:left w:val="nil"/>
          <w:bottom w:val="nil"/>
          <w:right w:val="nil"/>
          <w:between w:val="nil"/>
        </w:pBdr>
        <w:ind w:right="115"/>
        <w:rPr>
          <w:rFonts w:ascii="Bookman Old Style" w:eastAsia="Calibri" w:hAnsi="Bookman Old Style" w:cs="Calibri"/>
          <w:b/>
          <w:szCs w:val="24"/>
        </w:rPr>
      </w:pPr>
    </w:p>
    <w:p w:rsidR="00076757" w:rsidRDefault="00076757" w:rsidP="00076757">
      <w:pPr>
        <w:pStyle w:val="Ttulo2"/>
        <w:numPr>
          <w:ilvl w:val="0"/>
          <w:numId w:val="35"/>
        </w:numPr>
        <w:ind w:left="0" w:firstLine="0"/>
        <w:jc w:val="center"/>
        <w:rPr>
          <w:rFonts w:ascii="Bookman Old Style" w:eastAsia="Calibri" w:hAnsi="Bookman Old Style" w:cs="Calibri"/>
          <w:sz w:val="22"/>
          <w:szCs w:val="24"/>
        </w:rPr>
      </w:pPr>
      <w:r>
        <w:rPr>
          <w:rFonts w:ascii="Bookman Old Style" w:eastAsia="Calibri" w:hAnsi="Bookman Old Style" w:cs="Calibri"/>
          <w:sz w:val="22"/>
          <w:szCs w:val="24"/>
        </w:rPr>
        <w:t>TRÁMITE DE LA INICIATIVA.</w:t>
      </w:r>
    </w:p>
    <w:p w:rsidR="00076757" w:rsidRDefault="00076757" w:rsidP="00076757">
      <w:pPr>
        <w:pStyle w:val="Ttulo2"/>
        <w:ind w:left="360"/>
        <w:rPr>
          <w:rFonts w:ascii="Bookman Old Style" w:eastAsia="Calibri" w:hAnsi="Bookman Old Style" w:cs="Calibri"/>
          <w:sz w:val="22"/>
          <w:szCs w:val="24"/>
        </w:rPr>
      </w:pPr>
    </w:p>
    <w:p w:rsidR="00076757" w:rsidRDefault="00076757" w:rsidP="00076757">
      <w:pPr>
        <w:pStyle w:val="Ttulo2"/>
        <w:jc w:val="both"/>
        <w:rPr>
          <w:rFonts w:ascii="Bookman Old Style" w:eastAsia="Calibri" w:hAnsi="Bookman Old Style" w:cs="Calibri"/>
          <w:b w:val="0"/>
          <w:bCs/>
          <w:sz w:val="22"/>
          <w:szCs w:val="24"/>
        </w:rPr>
      </w:pPr>
      <w:r>
        <w:rPr>
          <w:rFonts w:ascii="Bookman Old Style" w:eastAsia="Calibri" w:hAnsi="Bookman Old Style" w:cs="Calibri"/>
          <w:b w:val="0"/>
          <w:bCs/>
          <w:sz w:val="22"/>
          <w:szCs w:val="24"/>
        </w:rPr>
        <w:t xml:space="preserve">El Proyecto de Acto Legislativo número 002 de 2022 Cámara fue radicado el día 21 de julio de 2022 por los </w:t>
      </w:r>
      <w:r w:rsidRPr="00407EBA">
        <w:rPr>
          <w:rFonts w:ascii="Bookman Old Style" w:eastAsia="Calibri" w:hAnsi="Bookman Old Style" w:cs="Calibri"/>
          <w:b w:val="0"/>
          <w:bCs/>
          <w:sz w:val="22"/>
          <w:szCs w:val="24"/>
        </w:rPr>
        <w:t>H.R.</w:t>
      </w:r>
      <w:r>
        <w:rPr>
          <w:rFonts w:ascii="Bookman Old Style" w:eastAsia="Calibri" w:hAnsi="Bookman Old Style" w:cs="Calibri"/>
          <w:b w:val="0"/>
          <w:bCs/>
          <w:sz w:val="22"/>
          <w:szCs w:val="24"/>
        </w:rPr>
        <w:t xml:space="preserve"> Juan Carlos Lozada Vargas</w:t>
      </w:r>
      <w:r w:rsidRPr="00373315">
        <w:rPr>
          <w:rFonts w:ascii="Bookman Old Style" w:eastAsia="Calibri" w:hAnsi="Bookman Old Style" w:cs="Calibri"/>
          <w:b w:val="0"/>
          <w:bCs/>
          <w:sz w:val="22"/>
          <w:szCs w:val="24"/>
        </w:rPr>
        <w:t>, H.R.</w:t>
      </w:r>
      <w:r>
        <w:rPr>
          <w:rFonts w:ascii="Bookman Old Style" w:eastAsia="Calibri" w:hAnsi="Bookman Old Style" w:cs="Calibri"/>
          <w:b w:val="0"/>
          <w:bCs/>
          <w:sz w:val="22"/>
          <w:szCs w:val="24"/>
        </w:rPr>
        <w:t xml:space="preserve"> Julián David López Tenorio</w:t>
      </w:r>
      <w:r w:rsidRPr="00373315">
        <w:rPr>
          <w:rFonts w:ascii="Bookman Old Style" w:eastAsia="Calibri" w:hAnsi="Bookman Old Style" w:cs="Calibri"/>
          <w:b w:val="0"/>
          <w:bCs/>
          <w:sz w:val="22"/>
          <w:szCs w:val="24"/>
        </w:rPr>
        <w:t>, H.R.</w:t>
      </w:r>
      <w:r>
        <w:rPr>
          <w:rFonts w:ascii="Bookman Old Style" w:eastAsia="Calibri" w:hAnsi="Bookman Old Style" w:cs="Calibri"/>
          <w:b w:val="0"/>
          <w:bCs/>
          <w:sz w:val="22"/>
          <w:szCs w:val="24"/>
        </w:rPr>
        <w:t xml:space="preserve"> Jaime Rodríguez Contreras</w:t>
      </w:r>
      <w:r w:rsidRPr="00373315">
        <w:rPr>
          <w:rFonts w:ascii="Bookman Old Style" w:eastAsia="Calibri" w:hAnsi="Bookman Old Style" w:cs="Calibri"/>
          <w:b w:val="0"/>
          <w:bCs/>
          <w:sz w:val="22"/>
          <w:szCs w:val="24"/>
        </w:rPr>
        <w:t>, H.R.</w:t>
      </w:r>
      <w:r>
        <w:rPr>
          <w:rFonts w:ascii="Bookman Old Style" w:eastAsia="Calibri" w:hAnsi="Bookman Old Style" w:cs="Calibri"/>
          <w:b w:val="0"/>
          <w:bCs/>
          <w:sz w:val="22"/>
          <w:szCs w:val="24"/>
        </w:rPr>
        <w:t xml:space="preserve"> Jorge Eliécer Tamayo Marulanda</w:t>
      </w:r>
      <w:r w:rsidRPr="00373315">
        <w:rPr>
          <w:rFonts w:ascii="Bookman Old Style" w:eastAsia="Calibri" w:hAnsi="Bookman Old Style" w:cs="Calibri"/>
          <w:b w:val="0"/>
          <w:bCs/>
          <w:sz w:val="22"/>
          <w:szCs w:val="24"/>
        </w:rPr>
        <w:t>, H.R.</w:t>
      </w:r>
      <w:r>
        <w:rPr>
          <w:rFonts w:ascii="Bookman Old Style" w:eastAsia="Calibri" w:hAnsi="Bookman Old Style" w:cs="Calibri"/>
          <w:b w:val="0"/>
          <w:bCs/>
          <w:sz w:val="22"/>
          <w:szCs w:val="24"/>
        </w:rPr>
        <w:t xml:space="preserve"> Andrés David Calle Aguas</w:t>
      </w:r>
      <w:r w:rsidRPr="00373315">
        <w:rPr>
          <w:rFonts w:ascii="Bookman Old Style" w:eastAsia="Calibri" w:hAnsi="Bookman Old Style" w:cs="Calibri"/>
          <w:b w:val="0"/>
          <w:bCs/>
          <w:sz w:val="22"/>
          <w:szCs w:val="24"/>
        </w:rPr>
        <w:t>, H.R.</w:t>
      </w:r>
      <w:r>
        <w:rPr>
          <w:rFonts w:ascii="Bookman Old Style" w:eastAsia="Calibri" w:hAnsi="Bookman Old Style" w:cs="Calibri"/>
          <w:b w:val="0"/>
          <w:bCs/>
          <w:sz w:val="22"/>
          <w:szCs w:val="24"/>
        </w:rPr>
        <w:t xml:space="preserve"> María del Mar Pizarro García</w:t>
      </w:r>
      <w:r w:rsidRPr="00373315">
        <w:rPr>
          <w:rFonts w:ascii="Bookman Old Style" w:eastAsia="Calibri" w:hAnsi="Bookman Old Style" w:cs="Calibri"/>
          <w:b w:val="0"/>
          <w:bCs/>
          <w:sz w:val="22"/>
          <w:szCs w:val="24"/>
        </w:rPr>
        <w:t>, H.R.</w:t>
      </w:r>
      <w:r>
        <w:rPr>
          <w:rFonts w:ascii="Bookman Old Style" w:eastAsia="Calibri" w:hAnsi="Bookman Old Style" w:cs="Calibri"/>
          <w:b w:val="0"/>
          <w:bCs/>
          <w:sz w:val="22"/>
          <w:szCs w:val="24"/>
        </w:rPr>
        <w:t xml:space="preserve"> </w:t>
      </w:r>
      <w:r w:rsidRPr="00373315">
        <w:rPr>
          <w:rFonts w:ascii="Bookman Old Style" w:eastAsia="Calibri" w:hAnsi="Bookman Old Style" w:cs="Calibri"/>
          <w:b w:val="0"/>
          <w:bCs/>
          <w:sz w:val="22"/>
          <w:szCs w:val="24"/>
        </w:rPr>
        <w:t>J</w:t>
      </w:r>
      <w:r>
        <w:rPr>
          <w:rFonts w:ascii="Bookman Old Style" w:eastAsia="Calibri" w:hAnsi="Bookman Old Style" w:cs="Calibri"/>
          <w:b w:val="0"/>
          <w:bCs/>
          <w:sz w:val="22"/>
          <w:szCs w:val="24"/>
        </w:rPr>
        <w:t>ennifer Dalley Pedraza Sandoval</w:t>
      </w:r>
      <w:r w:rsidRPr="00373315">
        <w:rPr>
          <w:rFonts w:ascii="Bookman Old Style" w:eastAsia="Calibri" w:hAnsi="Bookman Old Style" w:cs="Calibri"/>
          <w:b w:val="0"/>
          <w:bCs/>
          <w:sz w:val="22"/>
          <w:szCs w:val="24"/>
        </w:rPr>
        <w:t>, H.R.</w:t>
      </w:r>
      <w:r>
        <w:rPr>
          <w:rFonts w:ascii="Bookman Old Style" w:eastAsia="Calibri" w:hAnsi="Bookman Old Style" w:cs="Calibri"/>
          <w:b w:val="0"/>
          <w:bCs/>
          <w:sz w:val="22"/>
          <w:szCs w:val="24"/>
        </w:rPr>
        <w:t xml:space="preserve"> </w:t>
      </w:r>
      <w:r w:rsidRPr="00373315">
        <w:rPr>
          <w:rFonts w:ascii="Bookman Old Style" w:eastAsia="Calibri" w:hAnsi="Bookman Old Style" w:cs="Calibri"/>
          <w:b w:val="0"/>
          <w:bCs/>
          <w:sz w:val="22"/>
          <w:szCs w:val="24"/>
        </w:rPr>
        <w:t xml:space="preserve">María Fernanda Carrascal Rojas, </w:t>
      </w:r>
      <w:r w:rsidRPr="00373315">
        <w:rPr>
          <w:rFonts w:ascii="Bookman Old Style" w:eastAsia="Calibri" w:hAnsi="Bookman Old Style" w:cs="Calibri"/>
          <w:b w:val="0"/>
          <w:bCs/>
          <w:sz w:val="22"/>
          <w:szCs w:val="24"/>
        </w:rPr>
        <w:lastRenderedPageBreak/>
        <w:t>H.R.</w:t>
      </w:r>
      <w:r>
        <w:rPr>
          <w:rFonts w:ascii="Bookman Old Style" w:eastAsia="Calibri" w:hAnsi="Bookman Old Style" w:cs="Calibri"/>
          <w:b w:val="0"/>
          <w:bCs/>
          <w:sz w:val="22"/>
          <w:szCs w:val="24"/>
        </w:rPr>
        <w:t xml:space="preserve"> Gabriel Becerra Yañez</w:t>
      </w:r>
      <w:r w:rsidRPr="00373315">
        <w:rPr>
          <w:rFonts w:ascii="Bookman Old Style" w:eastAsia="Calibri" w:hAnsi="Bookman Old Style" w:cs="Calibri"/>
          <w:b w:val="0"/>
          <w:bCs/>
          <w:sz w:val="22"/>
          <w:szCs w:val="24"/>
        </w:rPr>
        <w:t>, H.R.</w:t>
      </w:r>
      <w:r>
        <w:rPr>
          <w:rFonts w:ascii="Bookman Old Style" w:eastAsia="Calibri" w:hAnsi="Bookman Old Style" w:cs="Calibri"/>
          <w:b w:val="0"/>
          <w:bCs/>
          <w:sz w:val="22"/>
          <w:szCs w:val="24"/>
        </w:rPr>
        <w:t xml:space="preserve"> Luis Alberto Albán Urbano</w:t>
      </w:r>
      <w:r w:rsidRPr="00373315">
        <w:rPr>
          <w:rFonts w:ascii="Bookman Old Style" w:eastAsia="Calibri" w:hAnsi="Bookman Old Style" w:cs="Calibri"/>
          <w:b w:val="0"/>
          <w:bCs/>
          <w:sz w:val="22"/>
          <w:szCs w:val="24"/>
        </w:rPr>
        <w:t>, H.R.</w:t>
      </w:r>
      <w:r>
        <w:rPr>
          <w:rFonts w:ascii="Bookman Old Style" w:eastAsia="Calibri" w:hAnsi="Bookman Old Style" w:cs="Calibri"/>
          <w:b w:val="0"/>
          <w:bCs/>
          <w:sz w:val="22"/>
          <w:szCs w:val="24"/>
        </w:rPr>
        <w:t xml:space="preserve"> David Ricardo Racero Mayorca</w:t>
      </w:r>
      <w:r w:rsidRPr="00373315">
        <w:rPr>
          <w:rFonts w:ascii="Bookman Old Style" w:eastAsia="Calibri" w:hAnsi="Bookman Old Style" w:cs="Calibri"/>
          <w:b w:val="0"/>
          <w:bCs/>
          <w:sz w:val="22"/>
          <w:szCs w:val="24"/>
        </w:rPr>
        <w:t>, H.R.</w:t>
      </w:r>
      <w:r>
        <w:rPr>
          <w:rFonts w:ascii="Bookman Old Style" w:eastAsia="Calibri" w:hAnsi="Bookman Old Style" w:cs="Calibri"/>
          <w:b w:val="0"/>
          <w:bCs/>
          <w:sz w:val="22"/>
          <w:szCs w:val="24"/>
        </w:rPr>
        <w:t xml:space="preserve"> Alfredo Mondragón Garzón</w:t>
      </w:r>
      <w:r w:rsidRPr="00373315">
        <w:rPr>
          <w:rFonts w:ascii="Bookman Old Style" w:eastAsia="Calibri" w:hAnsi="Bookman Old Style" w:cs="Calibri"/>
          <w:b w:val="0"/>
          <w:bCs/>
          <w:sz w:val="22"/>
          <w:szCs w:val="24"/>
        </w:rPr>
        <w:t>, H.R.</w:t>
      </w:r>
      <w:r>
        <w:rPr>
          <w:rFonts w:ascii="Bookman Old Style" w:eastAsia="Calibri" w:hAnsi="Bookman Old Style" w:cs="Calibri"/>
          <w:b w:val="0"/>
          <w:bCs/>
          <w:sz w:val="22"/>
          <w:szCs w:val="24"/>
        </w:rPr>
        <w:t xml:space="preserve"> Carlos Alberto Carreño Marin</w:t>
      </w:r>
      <w:r w:rsidRPr="00373315">
        <w:rPr>
          <w:rFonts w:ascii="Bookman Old Style" w:eastAsia="Calibri" w:hAnsi="Bookman Old Style" w:cs="Calibri"/>
          <w:b w:val="0"/>
          <w:bCs/>
          <w:sz w:val="22"/>
          <w:szCs w:val="24"/>
        </w:rPr>
        <w:t>, H.R.</w:t>
      </w:r>
      <w:r>
        <w:rPr>
          <w:rFonts w:ascii="Bookman Old Style" w:eastAsia="Calibri" w:hAnsi="Bookman Old Style" w:cs="Calibri"/>
          <w:b w:val="0"/>
          <w:bCs/>
          <w:sz w:val="22"/>
          <w:szCs w:val="24"/>
        </w:rPr>
        <w:t xml:space="preserve"> Santiago Osorio Marín</w:t>
      </w:r>
      <w:r w:rsidRPr="00373315">
        <w:rPr>
          <w:rFonts w:ascii="Bookman Old Style" w:eastAsia="Calibri" w:hAnsi="Bookman Old Style" w:cs="Calibri"/>
          <w:b w:val="0"/>
          <w:bCs/>
          <w:sz w:val="22"/>
          <w:szCs w:val="24"/>
        </w:rPr>
        <w:t>, H.R.</w:t>
      </w:r>
      <w:r>
        <w:rPr>
          <w:rFonts w:ascii="Bookman Old Style" w:eastAsia="Calibri" w:hAnsi="Bookman Old Style" w:cs="Calibri"/>
          <w:b w:val="0"/>
          <w:bCs/>
          <w:sz w:val="22"/>
          <w:szCs w:val="24"/>
        </w:rPr>
        <w:t xml:space="preserve"> Martha Lisbeth Alfonso Jurado</w:t>
      </w:r>
      <w:r w:rsidRPr="00373315">
        <w:rPr>
          <w:rFonts w:ascii="Bookman Old Style" w:eastAsia="Calibri" w:hAnsi="Bookman Old Style" w:cs="Calibri"/>
          <w:b w:val="0"/>
          <w:bCs/>
          <w:sz w:val="22"/>
          <w:szCs w:val="24"/>
        </w:rPr>
        <w:t>, H.R.</w:t>
      </w:r>
      <w:r>
        <w:rPr>
          <w:rFonts w:ascii="Bookman Old Style" w:eastAsia="Calibri" w:hAnsi="Bookman Old Style" w:cs="Calibri"/>
          <w:b w:val="0"/>
          <w:bCs/>
          <w:sz w:val="22"/>
          <w:szCs w:val="24"/>
        </w:rPr>
        <w:t xml:space="preserve"> Jezmi Lizeth Barraza Arraut</w:t>
      </w:r>
      <w:r w:rsidRPr="00373315">
        <w:rPr>
          <w:rFonts w:ascii="Bookman Old Style" w:eastAsia="Calibri" w:hAnsi="Bookman Old Style" w:cs="Calibri"/>
          <w:b w:val="0"/>
          <w:bCs/>
          <w:sz w:val="22"/>
          <w:szCs w:val="24"/>
        </w:rPr>
        <w:t>, H.R.</w:t>
      </w:r>
      <w:r>
        <w:rPr>
          <w:rFonts w:ascii="Bookman Old Style" w:eastAsia="Calibri" w:hAnsi="Bookman Old Style" w:cs="Calibri"/>
          <w:b w:val="0"/>
          <w:bCs/>
          <w:sz w:val="22"/>
          <w:szCs w:val="24"/>
        </w:rPr>
        <w:t xml:space="preserve"> Luvi Katherine Miranda Peña</w:t>
      </w:r>
      <w:r w:rsidRPr="00373315">
        <w:rPr>
          <w:rFonts w:ascii="Bookman Old Style" w:eastAsia="Calibri" w:hAnsi="Bookman Old Style" w:cs="Calibri"/>
          <w:b w:val="0"/>
          <w:bCs/>
          <w:sz w:val="22"/>
          <w:szCs w:val="24"/>
        </w:rPr>
        <w:t>, H.R.</w:t>
      </w:r>
      <w:r>
        <w:rPr>
          <w:rFonts w:ascii="Bookman Old Style" w:eastAsia="Calibri" w:hAnsi="Bookman Old Style" w:cs="Calibri"/>
          <w:b w:val="0"/>
          <w:bCs/>
          <w:sz w:val="22"/>
          <w:szCs w:val="24"/>
        </w:rPr>
        <w:t xml:space="preserve"> Dolcey Oscar Torres Romero</w:t>
      </w:r>
      <w:r w:rsidRPr="00373315">
        <w:rPr>
          <w:rFonts w:ascii="Bookman Old Style" w:eastAsia="Calibri" w:hAnsi="Bookman Old Style" w:cs="Calibri"/>
          <w:b w:val="0"/>
          <w:bCs/>
          <w:sz w:val="22"/>
          <w:szCs w:val="24"/>
        </w:rPr>
        <w:t>, H.R.</w:t>
      </w:r>
      <w:r>
        <w:rPr>
          <w:rFonts w:ascii="Bookman Old Style" w:eastAsia="Calibri" w:hAnsi="Bookman Old Style" w:cs="Calibri"/>
          <w:b w:val="0"/>
          <w:bCs/>
          <w:sz w:val="22"/>
          <w:szCs w:val="24"/>
        </w:rPr>
        <w:t xml:space="preserve"> Catherine Juvinao Clavijo</w:t>
      </w:r>
      <w:r w:rsidRPr="00373315">
        <w:rPr>
          <w:rFonts w:ascii="Bookman Old Style" w:eastAsia="Calibri" w:hAnsi="Bookman Old Style" w:cs="Calibri"/>
          <w:b w:val="0"/>
          <w:bCs/>
          <w:sz w:val="22"/>
          <w:szCs w:val="24"/>
        </w:rPr>
        <w:t>, H.R.</w:t>
      </w:r>
      <w:r>
        <w:rPr>
          <w:rFonts w:ascii="Bookman Old Style" w:eastAsia="Calibri" w:hAnsi="Bookman Old Style" w:cs="Calibri"/>
          <w:b w:val="0"/>
          <w:bCs/>
          <w:sz w:val="22"/>
          <w:szCs w:val="24"/>
        </w:rPr>
        <w:t xml:space="preserve"> </w:t>
      </w:r>
      <w:r w:rsidRPr="00373315">
        <w:rPr>
          <w:rFonts w:ascii="Bookman Old Style" w:eastAsia="Calibri" w:hAnsi="Bookman Old Style" w:cs="Calibri"/>
          <w:b w:val="0"/>
          <w:bCs/>
          <w:sz w:val="22"/>
          <w:szCs w:val="24"/>
        </w:rPr>
        <w:t>Daniel Carvalho M</w:t>
      </w:r>
      <w:r>
        <w:rPr>
          <w:rFonts w:ascii="Bookman Old Style" w:eastAsia="Calibri" w:hAnsi="Bookman Old Style" w:cs="Calibri"/>
          <w:b w:val="0"/>
          <w:bCs/>
          <w:sz w:val="22"/>
          <w:szCs w:val="24"/>
        </w:rPr>
        <w:t>ejía</w:t>
      </w:r>
      <w:r w:rsidRPr="00373315">
        <w:rPr>
          <w:rFonts w:ascii="Bookman Old Style" w:eastAsia="Calibri" w:hAnsi="Bookman Old Style" w:cs="Calibri"/>
          <w:b w:val="0"/>
          <w:bCs/>
          <w:sz w:val="22"/>
          <w:szCs w:val="24"/>
        </w:rPr>
        <w:t>, H.R.</w:t>
      </w:r>
      <w:r>
        <w:rPr>
          <w:rFonts w:ascii="Bookman Old Style" w:eastAsia="Calibri" w:hAnsi="Bookman Old Style" w:cs="Calibri"/>
          <w:b w:val="0"/>
          <w:bCs/>
          <w:sz w:val="22"/>
          <w:szCs w:val="24"/>
        </w:rPr>
        <w:t xml:space="preserve"> Germán Rogelio Rozo Anís</w:t>
      </w:r>
      <w:r w:rsidRPr="00373315">
        <w:rPr>
          <w:rFonts w:ascii="Bookman Old Style" w:eastAsia="Calibri" w:hAnsi="Bookman Old Style" w:cs="Calibri"/>
          <w:b w:val="0"/>
          <w:bCs/>
          <w:sz w:val="22"/>
          <w:szCs w:val="24"/>
        </w:rPr>
        <w:t>, H.R.</w:t>
      </w:r>
      <w:r>
        <w:rPr>
          <w:rFonts w:ascii="Bookman Old Style" w:eastAsia="Calibri" w:hAnsi="Bookman Old Style" w:cs="Calibri"/>
          <w:b w:val="0"/>
          <w:bCs/>
          <w:sz w:val="22"/>
          <w:szCs w:val="24"/>
        </w:rPr>
        <w:t xml:space="preserve"> Gilma Díaz Arias</w:t>
      </w:r>
      <w:r w:rsidRPr="00373315">
        <w:rPr>
          <w:rFonts w:ascii="Bookman Old Style" w:eastAsia="Calibri" w:hAnsi="Bookman Old Style" w:cs="Calibri"/>
          <w:b w:val="0"/>
          <w:bCs/>
          <w:sz w:val="22"/>
          <w:szCs w:val="24"/>
        </w:rPr>
        <w:t>, H.R.</w:t>
      </w:r>
      <w:r>
        <w:rPr>
          <w:rFonts w:ascii="Bookman Old Style" w:eastAsia="Calibri" w:hAnsi="Bookman Old Style" w:cs="Calibri"/>
          <w:b w:val="0"/>
          <w:bCs/>
          <w:sz w:val="22"/>
          <w:szCs w:val="24"/>
        </w:rPr>
        <w:t xml:space="preserve"> </w:t>
      </w:r>
      <w:r w:rsidRPr="00373315">
        <w:rPr>
          <w:rFonts w:ascii="Bookman Old Style" w:eastAsia="Calibri" w:hAnsi="Bookman Old Style" w:cs="Calibri"/>
          <w:b w:val="0"/>
          <w:bCs/>
          <w:sz w:val="22"/>
          <w:szCs w:val="24"/>
        </w:rPr>
        <w:t>Mónica Karina Bocanegra Pantoja</w:t>
      </w:r>
      <w:r>
        <w:rPr>
          <w:rFonts w:ascii="Bookman Old Style" w:eastAsia="Calibri" w:hAnsi="Bookman Old Style" w:cs="Calibri"/>
          <w:b w:val="0"/>
          <w:bCs/>
          <w:sz w:val="22"/>
          <w:szCs w:val="24"/>
        </w:rPr>
        <w:t xml:space="preserve">, así como por los </w:t>
      </w:r>
      <w:r w:rsidRPr="00373315">
        <w:rPr>
          <w:rFonts w:ascii="Bookman Old Style" w:eastAsia="Calibri" w:hAnsi="Bookman Old Style" w:cs="Calibri"/>
          <w:b w:val="0"/>
          <w:bCs/>
          <w:sz w:val="22"/>
          <w:szCs w:val="24"/>
        </w:rPr>
        <w:t>H.S.</w:t>
      </w:r>
      <w:r>
        <w:rPr>
          <w:rFonts w:ascii="Bookman Old Style" w:eastAsia="Calibri" w:hAnsi="Bookman Old Style" w:cs="Calibri"/>
          <w:b w:val="0"/>
          <w:bCs/>
          <w:sz w:val="22"/>
          <w:szCs w:val="24"/>
        </w:rPr>
        <w:t xml:space="preserve"> Alejandro Alberto Vega Pérez</w:t>
      </w:r>
      <w:r w:rsidRPr="00373315">
        <w:rPr>
          <w:rFonts w:ascii="Bookman Old Style" w:eastAsia="Calibri" w:hAnsi="Bookman Old Style" w:cs="Calibri"/>
          <w:b w:val="0"/>
          <w:bCs/>
          <w:sz w:val="22"/>
          <w:szCs w:val="24"/>
        </w:rPr>
        <w:t>, H.S.</w:t>
      </w:r>
      <w:r>
        <w:rPr>
          <w:rFonts w:ascii="Bookman Old Style" w:eastAsia="Calibri" w:hAnsi="Bookman Old Style" w:cs="Calibri"/>
          <w:b w:val="0"/>
          <w:bCs/>
          <w:sz w:val="22"/>
          <w:szCs w:val="24"/>
        </w:rPr>
        <w:t xml:space="preserve"> Alejandro Carlos Chacón Camargo</w:t>
      </w:r>
      <w:r w:rsidRPr="00373315">
        <w:rPr>
          <w:rFonts w:ascii="Bookman Old Style" w:eastAsia="Calibri" w:hAnsi="Bookman Old Style" w:cs="Calibri"/>
          <w:b w:val="0"/>
          <w:bCs/>
          <w:sz w:val="22"/>
          <w:szCs w:val="24"/>
        </w:rPr>
        <w:t>, H.S.</w:t>
      </w:r>
      <w:r>
        <w:rPr>
          <w:rFonts w:ascii="Bookman Old Style" w:eastAsia="Calibri" w:hAnsi="Bookman Old Style" w:cs="Calibri"/>
          <w:b w:val="0"/>
          <w:bCs/>
          <w:sz w:val="22"/>
          <w:szCs w:val="24"/>
        </w:rPr>
        <w:t xml:space="preserve"> </w:t>
      </w:r>
      <w:r w:rsidRPr="00373315">
        <w:rPr>
          <w:rFonts w:ascii="Bookman Old Style" w:eastAsia="Calibri" w:hAnsi="Bookman Old Style" w:cs="Calibri"/>
          <w:b w:val="0"/>
          <w:bCs/>
          <w:sz w:val="22"/>
          <w:szCs w:val="24"/>
        </w:rPr>
        <w:t>María José Piz</w:t>
      </w:r>
      <w:r>
        <w:rPr>
          <w:rFonts w:ascii="Bookman Old Style" w:eastAsia="Calibri" w:hAnsi="Bookman Old Style" w:cs="Calibri"/>
          <w:b w:val="0"/>
          <w:bCs/>
          <w:sz w:val="22"/>
          <w:szCs w:val="24"/>
        </w:rPr>
        <w:t>arro Rodríguez</w:t>
      </w:r>
      <w:r w:rsidRPr="00373315">
        <w:rPr>
          <w:rFonts w:ascii="Bookman Old Style" w:eastAsia="Calibri" w:hAnsi="Bookman Old Style" w:cs="Calibri"/>
          <w:b w:val="0"/>
          <w:bCs/>
          <w:sz w:val="22"/>
          <w:szCs w:val="24"/>
        </w:rPr>
        <w:t>, H.S.</w:t>
      </w:r>
      <w:r>
        <w:rPr>
          <w:rFonts w:ascii="Bookman Old Style" w:eastAsia="Calibri" w:hAnsi="Bookman Old Style" w:cs="Calibri"/>
          <w:b w:val="0"/>
          <w:bCs/>
          <w:sz w:val="22"/>
          <w:szCs w:val="24"/>
        </w:rPr>
        <w:t xml:space="preserve"> Inti Raúl Asprilla Reyes</w:t>
      </w:r>
      <w:r w:rsidRPr="00373315">
        <w:rPr>
          <w:rFonts w:ascii="Bookman Old Style" w:eastAsia="Calibri" w:hAnsi="Bookman Old Style" w:cs="Calibri"/>
          <w:b w:val="0"/>
          <w:bCs/>
          <w:sz w:val="22"/>
          <w:szCs w:val="24"/>
        </w:rPr>
        <w:t>, H.S.</w:t>
      </w:r>
      <w:r>
        <w:rPr>
          <w:rFonts w:ascii="Bookman Old Style" w:eastAsia="Calibri" w:hAnsi="Bookman Old Style" w:cs="Calibri"/>
          <w:b w:val="0"/>
          <w:bCs/>
          <w:sz w:val="22"/>
          <w:szCs w:val="24"/>
        </w:rPr>
        <w:t xml:space="preserve"> Alexánder López Maya</w:t>
      </w:r>
      <w:r w:rsidRPr="00373315">
        <w:rPr>
          <w:rFonts w:ascii="Bookman Old Style" w:eastAsia="Calibri" w:hAnsi="Bookman Old Style" w:cs="Calibri"/>
          <w:b w:val="0"/>
          <w:bCs/>
          <w:sz w:val="22"/>
          <w:szCs w:val="24"/>
        </w:rPr>
        <w:t>, H.S.</w:t>
      </w:r>
      <w:r>
        <w:rPr>
          <w:rFonts w:ascii="Bookman Old Style" w:eastAsia="Calibri" w:hAnsi="Bookman Old Style" w:cs="Calibri"/>
          <w:b w:val="0"/>
          <w:bCs/>
          <w:sz w:val="22"/>
          <w:szCs w:val="24"/>
        </w:rPr>
        <w:t xml:space="preserve"> Omar de Jesús Restrepo Correa</w:t>
      </w:r>
      <w:r w:rsidRPr="00373315">
        <w:rPr>
          <w:rFonts w:ascii="Bookman Old Style" w:eastAsia="Calibri" w:hAnsi="Bookman Old Style" w:cs="Calibri"/>
          <w:b w:val="0"/>
          <w:bCs/>
          <w:sz w:val="22"/>
          <w:szCs w:val="24"/>
        </w:rPr>
        <w:t>, H.S.</w:t>
      </w:r>
      <w:r>
        <w:rPr>
          <w:rFonts w:ascii="Bookman Old Style" w:eastAsia="Calibri" w:hAnsi="Bookman Old Style" w:cs="Calibri"/>
          <w:b w:val="0"/>
          <w:bCs/>
          <w:sz w:val="22"/>
          <w:szCs w:val="24"/>
        </w:rPr>
        <w:t xml:space="preserve"> Wilson Arias Castillo</w:t>
      </w:r>
      <w:r w:rsidRPr="00373315">
        <w:rPr>
          <w:rFonts w:ascii="Bookman Old Style" w:eastAsia="Calibri" w:hAnsi="Bookman Old Style" w:cs="Calibri"/>
          <w:b w:val="0"/>
          <w:bCs/>
          <w:sz w:val="22"/>
          <w:szCs w:val="24"/>
        </w:rPr>
        <w:t>, H.S.</w:t>
      </w:r>
      <w:r>
        <w:rPr>
          <w:rFonts w:ascii="Bookman Old Style" w:eastAsia="Calibri" w:hAnsi="Bookman Old Style" w:cs="Calibri"/>
          <w:b w:val="0"/>
          <w:bCs/>
          <w:sz w:val="22"/>
          <w:szCs w:val="24"/>
        </w:rPr>
        <w:t xml:space="preserve"> </w:t>
      </w:r>
      <w:r w:rsidRPr="00373315">
        <w:rPr>
          <w:rFonts w:ascii="Bookman Old Style" w:eastAsia="Calibri" w:hAnsi="Bookman Old Style" w:cs="Calibri"/>
          <w:b w:val="0"/>
          <w:bCs/>
          <w:sz w:val="22"/>
          <w:szCs w:val="24"/>
        </w:rPr>
        <w:t>Ro</w:t>
      </w:r>
      <w:r>
        <w:rPr>
          <w:rFonts w:ascii="Bookman Old Style" w:eastAsia="Calibri" w:hAnsi="Bookman Old Style" w:cs="Calibri"/>
          <w:b w:val="0"/>
          <w:bCs/>
          <w:sz w:val="22"/>
          <w:szCs w:val="24"/>
        </w:rPr>
        <w:t>y Leonardo Barreras Montealegre</w:t>
      </w:r>
      <w:r w:rsidRPr="00373315">
        <w:rPr>
          <w:rFonts w:ascii="Bookman Old Style" w:eastAsia="Calibri" w:hAnsi="Bookman Old Style" w:cs="Calibri"/>
          <w:b w:val="0"/>
          <w:bCs/>
          <w:sz w:val="22"/>
          <w:szCs w:val="24"/>
        </w:rPr>
        <w:t>, H.S.</w:t>
      </w:r>
      <w:r>
        <w:rPr>
          <w:rFonts w:ascii="Bookman Old Style" w:eastAsia="Calibri" w:hAnsi="Bookman Old Style" w:cs="Calibri"/>
          <w:b w:val="0"/>
          <w:bCs/>
          <w:sz w:val="22"/>
          <w:szCs w:val="24"/>
        </w:rPr>
        <w:t xml:space="preserve"> Iván Cepeda Castro</w:t>
      </w:r>
      <w:r w:rsidRPr="00373315">
        <w:rPr>
          <w:rFonts w:ascii="Bookman Old Style" w:eastAsia="Calibri" w:hAnsi="Bookman Old Style" w:cs="Calibri"/>
          <w:b w:val="0"/>
          <w:bCs/>
          <w:sz w:val="22"/>
          <w:szCs w:val="24"/>
        </w:rPr>
        <w:t>, H.S.</w:t>
      </w:r>
      <w:r>
        <w:rPr>
          <w:rFonts w:ascii="Bookman Old Style" w:eastAsia="Calibri" w:hAnsi="Bookman Old Style" w:cs="Calibri"/>
          <w:b w:val="0"/>
          <w:bCs/>
          <w:sz w:val="22"/>
          <w:szCs w:val="24"/>
        </w:rPr>
        <w:t xml:space="preserve"> Yuly Esmeralda Hernández Silva.</w:t>
      </w:r>
    </w:p>
    <w:p w:rsidR="00076757" w:rsidRDefault="00076757" w:rsidP="00076757">
      <w:pPr>
        <w:pStyle w:val="Ttulo2"/>
        <w:jc w:val="both"/>
        <w:rPr>
          <w:rFonts w:ascii="Bookman Old Style" w:eastAsia="Calibri" w:hAnsi="Bookman Old Style" w:cs="Calibri"/>
          <w:b w:val="0"/>
          <w:bCs/>
          <w:sz w:val="22"/>
          <w:szCs w:val="24"/>
        </w:rPr>
      </w:pPr>
    </w:p>
    <w:p w:rsidR="00076757" w:rsidRDefault="00076757" w:rsidP="00076757">
      <w:pPr>
        <w:pStyle w:val="Ttulo2"/>
        <w:jc w:val="both"/>
        <w:rPr>
          <w:rFonts w:ascii="Bookman Old Style" w:eastAsia="Calibri" w:hAnsi="Bookman Old Style" w:cs="Calibri"/>
          <w:b w:val="0"/>
          <w:bCs/>
          <w:sz w:val="22"/>
          <w:szCs w:val="24"/>
        </w:rPr>
      </w:pPr>
      <w:r>
        <w:rPr>
          <w:rFonts w:ascii="Bookman Old Style" w:eastAsia="Calibri" w:hAnsi="Bookman Old Style" w:cs="Calibri"/>
          <w:b w:val="0"/>
          <w:bCs/>
          <w:sz w:val="22"/>
          <w:szCs w:val="24"/>
        </w:rPr>
        <w:t xml:space="preserve">El día </w:t>
      </w:r>
      <w:r w:rsidRPr="00ED06C0">
        <w:rPr>
          <w:rFonts w:ascii="Bookman Old Style" w:eastAsia="Calibri" w:hAnsi="Bookman Old Style" w:cs="Calibri"/>
          <w:b w:val="0"/>
          <w:bCs/>
          <w:sz w:val="22"/>
          <w:szCs w:val="24"/>
        </w:rPr>
        <w:t>05 de agosto</w:t>
      </w:r>
      <w:r>
        <w:rPr>
          <w:rFonts w:ascii="Bookman Old Style" w:eastAsia="Calibri" w:hAnsi="Bookman Old Style" w:cs="Calibri"/>
          <w:b w:val="0"/>
          <w:bCs/>
          <w:sz w:val="22"/>
          <w:szCs w:val="24"/>
        </w:rPr>
        <w:t xml:space="preserve"> de 2022 se designó como ponentes a los H.R. Juan Carlos Lozada Vargas, Jorge Alejandro Ocampo Giraldo, Marelen Castillo Torres, Luis Alberto Albán Urbano, Catherine Juvinao Clavijo, Hernán Darío Cadavid Márquez, Julio Cesar Triana Quintero, Jorge Eliecer Tamayo Marulanda, Diogenes Quintero Amaya y Juan Daniel Peñuela.</w:t>
      </w:r>
    </w:p>
    <w:p w:rsidR="00076757" w:rsidRDefault="00076757" w:rsidP="00076757">
      <w:pPr>
        <w:rPr>
          <w:rFonts w:eastAsia="Calibri"/>
        </w:rPr>
      </w:pPr>
    </w:p>
    <w:p w:rsidR="00076757" w:rsidRPr="007E2A01" w:rsidRDefault="00076757" w:rsidP="00076757">
      <w:pPr>
        <w:jc w:val="both"/>
        <w:rPr>
          <w:rFonts w:ascii="Bookman Old Style" w:eastAsia="Calibri" w:hAnsi="Bookman Old Style"/>
        </w:rPr>
      </w:pPr>
      <w:r>
        <w:rPr>
          <w:rFonts w:ascii="Bookman Old Style" w:hAnsi="Bookman Old Style"/>
        </w:rPr>
        <w:t>El</w:t>
      </w:r>
      <w:r w:rsidRPr="007E2A01">
        <w:rPr>
          <w:rFonts w:ascii="Bookman Old Style" w:hAnsi="Bookman Old Style"/>
        </w:rPr>
        <w:t xml:space="preserve"> día 9 de agosto de 2022, la Secretaría General de la Comisión Primera Constitucional Permanente de la Cámara de Representantes recibe informe de ponencia para primer debate por parte de los honorables represent</w:t>
      </w:r>
      <w:r>
        <w:rPr>
          <w:rFonts w:ascii="Bookman Old Style" w:hAnsi="Bookman Old Style"/>
        </w:rPr>
        <w:t>antes a la Cámara Juan Carlos Lo</w:t>
      </w:r>
      <w:r w:rsidRPr="007E2A01">
        <w:rPr>
          <w:rFonts w:ascii="Bookman Old Style" w:hAnsi="Bookman Old Style"/>
        </w:rPr>
        <w:t>zada Vargas, Jorge Alejandro Ocampo Giralda, Marelen Castillo Torres, Luis Alberto Albán Urbano, Catherine Juvinao Clavija, Julio Cesar Triana Quintero, Jorge Eliecer Tamayo Marulanda y Diogenes Quintero Amaya el cual se envía a Leyes de Cámara para su publicación en la Gaceta del Congreso 954 del 24 de agosto de 2022.</w:t>
      </w:r>
    </w:p>
    <w:p w:rsidR="00076757" w:rsidRPr="007E2A01" w:rsidRDefault="00076757" w:rsidP="00076757">
      <w:pPr>
        <w:jc w:val="both"/>
        <w:rPr>
          <w:rFonts w:ascii="Bookman Old Style" w:eastAsia="Calibri" w:hAnsi="Bookman Old Style"/>
        </w:rPr>
      </w:pPr>
    </w:p>
    <w:p w:rsidR="00076757" w:rsidRDefault="00076757" w:rsidP="00076757">
      <w:pPr>
        <w:jc w:val="both"/>
        <w:rPr>
          <w:rFonts w:ascii="Bookman Old Style" w:hAnsi="Bookman Old Style"/>
        </w:rPr>
      </w:pPr>
      <w:r>
        <w:rPr>
          <w:rFonts w:ascii="Bookman Old Style" w:hAnsi="Bookman Old Style"/>
        </w:rPr>
        <w:t>El</w:t>
      </w:r>
      <w:r w:rsidRPr="007E2A01">
        <w:rPr>
          <w:rFonts w:ascii="Bookman Old Style" w:hAnsi="Bookman Old Style"/>
        </w:rPr>
        <w:t xml:space="preserve"> día 23 de agosto de 2022, la Secretaría General de la Comisión Primera Constitucional Permanente de la Cámara de Representantes recibe informe de ponencia para primer debate por parte de los honorables representantes . Hernán Dario Cadavid Márquez y Juan Daniel Peñuela Calvache, el cual se envía a Leyes de Cámara para su publicación en la Gaceta del Congreso 980 del 26 de agosto de 2022.</w:t>
      </w:r>
    </w:p>
    <w:p w:rsidR="00076757" w:rsidRPr="007E2A01" w:rsidRDefault="00076757" w:rsidP="00076757">
      <w:pPr>
        <w:rPr>
          <w:rFonts w:ascii="Bookman Old Style" w:eastAsia="Calibri" w:hAnsi="Bookman Old Style"/>
        </w:rPr>
      </w:pPr>
    </w:p>
    <w:p w:rsidR="00076757" w:rsidRDefault="00076757" w:rsidP="00076757">
      <w:pPr>
        <w:jc w:val="both"/>
        <w:rPr>
          <w:rFonts w:ascii="Bookman Old Style" w:hAnsi="Bookman Old Style"/>
        </w:rPr>
      </w:pPr>
      <w:r>
        <w:rPr>
          <w:rFonts w:ascii="Bookman Old Style" w:hAnsi="Bookman Old Style"/>
        </w:rPr>
        <w:t>E</w:t>
      </w:r>
      <w:r w:rsidRPr="007E2A01">
        <w:rPr>
          <w:rFonts w:ascii="Bookman Old Style" w:hAnsi="Bookman Old Style"/>
        </w:rPr>
        <w:t>n sesiones de 6 y 13 de septiembre de 2022, según consta en Actas No. 8 y 1 O de 6 y 13 de septiembre de 2022, se anunció que en la próxima sesión se discutiría y votaría el Proyecto de Acto Legislativo No. 002 de 2022 Cámara «POR MEDIO DEL CUAL SE MODIFICA EL ARTÍCULO 49 DE LA CONSTITUCIÓN POLÍTICA DE COLOMBIA, SE REGULARIZA EL CANNABIS DE USO ADULTO Y SE DICTAN OTRAS DISPOSICIONES», tal como se indica en constancia de la secretaria general de la Comisión Primera Constitucional Permanente de la Cámara de Representantes.</w:t>
      </w:r>
    </w:p>
    <w:p w:rsidR="00076757" w:rsidRPr="007E2A01" w:rsidRDefault="00076757" w:rsidP="00076757">
      <w:pPr>
        <w:rPr>
          <w:rFonts w:ascii="Bookman Old Style" w:hAnsi="Bookman Old Style"/>
        </w:rPr>
      </w:pPr>
    </w:p>
    <w:p w:rsidR="00076757" w:rsidRDefault="00076757" w:rsidP="00076757">
      <w:pPr>
        <w:jc w:val="both"/>
        <w:rPr>
          <w:rFonts w:ascii="Bookman Old Style" w:hAnsi="Bookman Old Style"/>
        </w:rPr>
      </w:pPr>
      <w:r>
        <w:rPr>
          <w:rFonts w:ascii="Bookman Old Style" w:hAnsi="Bookman Old Style"/>
        </w:rPr>
        <w:t>E</w:t>
      </w:r>
      <w:r w:rsidRPr="007E2A01">
        <w:rPr>
          <w:rFonts w:ascii="Bookman Old Style" w:hAnsi="Bookman Old Style"/>
        </w:rPr>
        <w:t xml:space="preserve">l Proyecto de Acto Legislativo No. 002 de 2022 Cámara «POR MEDIO DEL CUAL SE MODIFICA EL ARTÍCULO 49 DE LA CONSTITUCIÓN POLÍTICA DE COLOMBIA, SE REGULARIZA EL CANNABIS DE USO ADULTO Y SE DICTAN OTRAS DISPOSICIONES» fue discutido y aprobado en primera vuelta en sesiones de la Comisión Primera Constitucional Permanente de la Cámara de Representantes los </w:t>
      </w:r>
      <w:r w:rsidRPr="007E2A01">
        <w:rPr>
          <w:rFonts w:ascii="Bookman Old Style" w:hAnsi="Bookman Old Style"/>
        </w:rPr>
        <w:lastRenderedPageBreak/>
        <w:t>días 7 y 14 de septiembre de 2022, todo lo cual consta en el Acta No. 9 y 11 de 7 y 14 de septiembre de 2022.</w:t>
      </w:r>
    </w:p>
    <w:p w:rsidR="00076757" w:rsidRPr="007E2A01" w:rsidRDefault="00076757" w:rsidP="00076757">
      <w:pPr>
        <w:rPr>
          <w:rFonts w:ascii="Bookman Old Style" w:hAnsi="Bookman Old Style"/>
        </w:rPr>
      </w:pPr>
    </w:p>
    <w:p w:rsidR="00076757" w:rsidRDefault="00076757" w:rsidP="00076757">
      <w:pPr>
        <w:jc w:val="both"/>
        <w:rPr>
          <w:rFonts w:ascii="Bookman Old Style" w:hAnsi="Bookman Old Style"/>
        </w:rPr>
      </w:pPr>
      <w:r w:rsidRPr="007E2A01">
        <w:rPr>
          <w:rFonts w:ascii="Bookman Old Style" w:hAnsi="Bookman Old Style"/>
        </w:rPr>
        <w:t>La Presidencia de la Comisión Primera Constitucional Permanente de la Cámara de Representantes, según Acta No. 11 de 14 de septiembre de 2022, designa como ponente para segundo debate de los honorables represent</w:t>
      </w:r>
      <w:r>
        <w:rPr>
          <w:rFonts w:ascii="Bookman Old Style" w:hAnsi="Bookman Old Style"/>
        </w:rPr>
        <w:t>antes a la Cámara Juan Carlos Lo</w:t>
      </w:r>
      <w:r w:rsidRPr="007E2A01">
        <w:rPr>
          <w:rFonts w:ascii="Bookman Old Style" w:hAnsi="Bookman Old Style"/>
        </w:rPr>
        <w:t>zada Vargas, Jorge Alejandro Ocampo Giralda, Marelen Castillo Torres, Luis Alberto Albán Urbano, Catherine Juvinao Clavija, Hernán Dario Cadavid Márquez, Julio Cesar Triana Quintero, Jorge Eliecer Tamayo Marulanda, Diogenes Quintero Amaya y Juan Daniel Peñuela Calvache.</w:t>
      </w:r>
    </w:p>
    <w:p w:rsidR="00076757" w:rsidRPr="007E2A01" w:rsidRDefault="00076757" w:rsidP="00076757">
      <w:pPr>
        <w:rPr>
          <w:rFonts w:ascii="Bookman Old Style" w:eastAsia="Calibri" w:hAnsi="Bookman Old Style"/>
        </w:rPr>
      </w:pPr>
    </w:p>
    <w:p w:rsidR="00076757" w:rsidRPr="004B1A8E" w:rsidRDefault="00076757" w:rsidP="00076757">
      <w:pPr>
        <w:jc w:val="both"/>
        <w:rPr>
          <w:rFonts w:ascii="Bookman Old Style" w:eastAsia="Calibri" w:hAnsi="Bookman Old Style"/>
        </w:rPr>
      </w:pPr>
      <w:r>
        <w:rPr>
          <w:rFonts w:ascii="Bookman Old Style" w:hAnsi="Bookman Old Style"/>
        </w:rPr>
        <w:t>E</w:t>
      </w:r>
      <w:r w:rsidRPr="004B1A8E">
        <w:rPr>
          <w:rFonts w:ascii="Bookman Old Style" w:hAnsi="Bookman Old Style"/>
        </w:rPr>
        <w:t>l 21 de septiembre de 2022 la Secretaría General de la Comisión Primera Constitucional Permanente de la Cámara de Representantes recibe ponencia para segundo debate del Proyecto de Acto Legislativo No. 002 de 2022 Cámara «POR MEDIO DEL CUAL SE MODIFICA EL ARTÍCULO 49 DE LA CONSTITUCIÓN POLÍTICA DE COLOMBIA, SE REGULARIZA EL CANNABIS DE USO ADULTO Y SE DICTAN OTRAS DISPOSICIONES», suscrita por los honorables representantes a la Cámara Juan Ca</w:t>
      </w:r>
      <w:r>
        <w:rPr>
          <w:rFonts w:ascii="Bookman Old Style" w:hAnsi="Bookman Old Style"/>
        </w:rPr>
        <w:t>rlos Lo</w:t>
      </w:r>
      <w:r w:rsidRPr="004B1A8E">
        <w:rPr>
          <w:rFonts w:ascii="Bookman Old Style" w:hAnsi="Bookman Old Style"/>
        </w:rPr>
        <w:t>zada Vargas, Jorge Alejandro Ocampo Giralda, Marelen Castillo Torres, Luis Alberto Albán Urbano, Catherine Juvinao Clavija, Jorge Eliecer Tamayo Marulanda y Diogenes Quintero Amaya y se envía a la Sección de Leyes para su respectiva publicación en la Gaceta del Congreso 1133 del 23 de septiembre de 2022.</w:t>
      </w:r>
    </w:p>
    <w:p w:rsidR="00076757" w:rsidRPr="007E2A01" w:rsidRDefault="00076757" w:rsidP="00076757">
      <w:pPr>
        <w:rPr>
          <w:rFonts w:ascii="Bookman Old Style" w:eastAsia="Calibri" w:hAnsi="Bookman Old Style"/>
        </w:rPr>
      </w:pPr>
    </w:p>
    <w:p w:rsidR="00076757" w:rsidRPr="007E2A01" w:rsidRDefault="00076757" w:rsidP="00076757">
      <w:pPr>
        <w:jc w:val="both"/>
        <w:rPr>
          <w:rFonts w:ascii="Bookman Old Style" w:hAnsi="Bookman Old Style"/>
        </w:rPr>
      </w:pPr>
      <w:r>
        <w:rPr>
          <w:rFonts w:ascii="Bookman Old Style" w:hAnsi="Bookman Old Style"/>
        </w:rPr>
        <w:t>E</w:t>
      </w:r>
      <w:r w:rsidRPr="007E2A01">
        <w:rPr>
          <w:rFonts w:ascii="Bookman Old Style" w:hAnsi="Bookman Old Style"/>
        </w:rPr>
        <w:t>l 28 de septiembre de 2022 la Secretaría General de la Comisión Primera Constitucional Permanente de la Cámara de Representantes recibe ponencia para segundo debate del Proyecto de Acto Legislativo No. 002 de 2022 Cámara «POR MEDIO DEL CUAL SE MODIFICA EL ARTÍCULO 49 DE LA CONSTITUCIÓN POLÍTICA DE COLOMBIA, SE REGULARIZA EL CANNABIS DE USO ADULTO Y SE DICTAN OTRAS DISPOSICIONES», suscrita por los honorables representantes a la Cámara Juan David Peñuela Calvache y Hernán Darío Cadavid Márquez y se envía a la Sección de Leyes para su respectiva publicación en la Gaceta del Congreso 1159 del 29 de septiembre de 2022.</w:t>
      </w:r>
    </w:p>
    <w:p w:rsidR="00076757" w:rsidRPr="007E2A01" w:rsidRDefault="00076757" w:rsidP="00076757">
      <w:pPr>
        <w:rPr>
          <w:rFonts w:ascii="Bookman Old Style" w:hAnsi="Bookman Old Style"/>
        </w:rPr>
      </w:pPr>
    </w:p>
    <w:p w:rsidR="00076757" w:rsidRPr="007E2A01" w:rsidRDefault="00076757" w:rsidP="00076757">
      <w:pPr>
        <w:jc w:val="both"/>
        <w:rPr>
          <w:rFonts w:ascii="Bookman Old Style" w:hAnsi="Bookman Old Style"/>
        </w:rPr>
      </w:pPr>
      <w:r>
        <w:rPr>
          <w:rFonts w:ascii="Bookman Old Style" w:hAnsi="Bookman Old Style"/>
        </w:rPr>
        <w:t>E</w:t>
      </w:r>
      <w:r w:rsidRPr="007E2A01">
        <w:rPr>
          <w:rFonts w:ascii="Bookman Old Style" w:hAnsi="Bookman Old Style"/>
        </w:rPr>
        <w:t>n sesión plenaria de la Cámara de Representantes el día 11 de octubre de 2022 fue considerado y aprobado el texto definitivo con modificaciones del Proyecto de Acto Legislativo No. 002 de 2022 Cámara «POR MEDIO DEL CUAL SE MODIFICA EL ARTÍCULO 49 DE LA CONSTITUCIÓN POLÍTICA DE COLOMBIA, SE REGULARIZA EL CANNABIS DE USO ADULTO Y SE DICTAN OTRAS DISPOSICIONES» tal como consta en el Acta No. 020 del 11 de octubre de 2022, previo anun</w:t>
      </w:r>
      <w:r>
        <w:rPr>
          <w:rFonts w:ascii="Bookman Old Style" w:hAnsi="Bookman Old Style"/>
        </w:rPr>
        <w:t>cio en sesión plenaria el día 1</w:t>
      </w:r>
      <w:r w:rsidRPr="007E2A01">
        <w:rPr>
          <w:rFonts w:ascii="Bookman Old Style" w:hAnsi="Bookman Old Style"/>
        </w:rPr>
        <w:t>O de octubre de 2022, según consta en Acta No. 019, tal como consta en la constancia de sustanciación de la Secretaría General de la Cámara de Representantes del 19 de octubre de 2022.</w:t>
      </w:r>
    </w:p>
    <w:p w:rsidR="00076757" w:rsidRPr="007E2A01" w:rsidRDefault="00076757" w:rsidP="00076757">
      <w:pPr>
        <w:rPr>
          <w:rFonts w:ascii="Bookman Old Style" w:hAnsi="Bookman Old Style"/>
        </w:rPr>
      </w:pPr>
    </w:p>
    <w:p w:rsidR="00076757" w:rsidRPr="007E2A01" w:rsidRDefault="00076757" w:rsidP="00076757">
      <w:pPr>
        <w:jc w:val="both"/>
        <w:rPr>
          <w:rFonts w:ascii="Bookman Old Style" w:hAnsi="Bookman Old Style"/>
        </w:rPr>
      </w:pPr>
      <w:r>
        <w:rPr>
          <w:rFonts w:ascii="Bookman Old Style" w:hAnsi="Bookman Old Style"/>
        </w:rPr>
        <w:t>C</w:t>
      </w:r>
      <w:r w:rsidRPr="007E2A01">
        <w:rPr>
          <w:rFonts w:ascii="Bookman Old Style" w:hAnsi="Bookman Old Style"/>
        </w:rPr>
        <w:t xml:space="preserve">on oficio de fecha 19 de octubre de 2022, el secretario general de la Cámara de Representantes remite al señor presidente del Senado de la República el expediente del Proyecto de Acto Legislativo No. 002 de 2022 Cámara «POR MEDIO DEL CUAL SE MODIFICA EL ARTÍCULO 49 DE LA CONSTITUCIÓN POLÍTICA DE COLOMBIA, SE REGULARIZA EL CANNABIS DE USO ADULTO Y SE DICTAN OTRAS </w:t>
      </w:r>
      <w:r w:rsidRPr="007E2A01">
        <w:rPr>
          <w:rFonts w:ascii="Bookman Old Style" w:hAnsi="Bookman Old Style"/>
        </w:rPr>
        <w:lastRenderedPageBreak/>
        <w:t>DISPOSICIONES».</w:t>
      </w:r>
    </w:p>
    <w:p w:rsidR="00076757" w:rsidRPr="007E2A01" w:rsidRDefault="00076757" w:rsidP="00076757">
      <w:pPr>
        <w:rPr>
          <w:rFonts w:ascii="Bookman Old Style" w:hAnsi="Bookman Old Style"/>
        </w:rPr>
      </w:pPr>
    </w:p>
    <w:p w:rsidR="00076757" w:rsidRPr="007E2A01" w:rsidRDefault="00076757" w:rsidP="00076757">
      <w:pPr>
        <w:jc w:val="both"/>
        <w:rPr>
          <w:rFonts w:ascii="Bookman Old Style" w:hAnsi="Bookman Old Style"/>
        </w:rPr>
      </w:pPr>
      <w:r>
        <w:rPr>
          <w:rFonts w:ascii="Bookman Old Style" w:hAnsi="Bookman Old Style"/>
        </w:rPr>
        <w:t>E</w:t>
      </w:r>
      <w:r w:rsidRPr="007E2A01">
        <w:rPr>
          <w:rFonts w:ascii="Bookman Old Style" w:hAnsi="Bookman Old Style"/>
        </w:rPr>
        <w:t>l 27 de octubre de 2022, pasa a la Comisión Primera Constitucional Permanente del Senado de la República el Proyecto de Acto Legislativo No. 033 de 2022 Senado - 002 de 2022 Cámara «POR MEDIO DEL CUAL SE MODIFICA EL ARTÍCULO 49 DE LA CONSTITUCIÓN POLÍTICA DE COLOMBIA, SE REGULARIZA EL CANNABIS DE USO ADULTO Y SE DICTAN OTRAS DISPOSICIONES», con el fin de ser estudiado en primer debate</w:t>
      </w:r>
      <w:r>
        <w:rPr>
          <w:rFonts w:ascii="Bookman Old Style" w:hAnsi="Bookman Old Style"/>
        </w:rPr>
        <w:t>.</w:t>
      </w:r>
    </w:p>
    <w:p w:rsidR="00076757" w:rsidRPr="007E2A01" w:rsidRDefault="00076757" w:rsidP="00076757">
      <w:pPr>
        <w:rPr>
          <w:rFonts w:ascii="Bookman Old Style" w:hAnsi="Bookman Old Style"/>
        </w:rPr>
      </w:pPr>
    </w:p>
    <w:p w:rsidR="00076757" w:rsidRDefault="00076757" w:rsidP="00076757">
      <w:pPr>
        <w:jc w:val="both"/>
        <w:rPr>
          <w:rFonts w:ascii="Bookman Old Style" w:hAnsi="Bookman Old Style"/>
        </w:rPr>
      </w:pPr>
      <w:r>
        <w:rPr>
          <w:rFonts w:ascii="Bookman Old Style" w:hAnsi="Bookman Old Style"/>
        </w:rPr>
        <w:t>El</w:t>
      </w:r>
      <w:r w:rsidRPr="007E2A01">
        <w:rPr>
          <w:rFonts w:ascii="Bookman Old Style" w:hAnsi="Bookman Old Style"/>
        </w:rPr>
        <w:t xml:space="preserve"> 31 de octubre de 2022, la Secretaría de la Comisión Primera Constitucional Permanente del Senado de la República recibe el Proyecto de Acto Legislativo No. 033 de 2022 Senado - 002 de 2022 Cámara «POR MEDIO DEL CUAL SE MODIFICA EL ARTÍCULO 49 DE LA CONSTITUCIÓN POLÍTICA DE COLOMBIA, SE REGULARIZA EL CANNABIS DE USO ADULTO Y SE DICTAN OTRAS DISPOSICIONES» primera vuelta. </w:t>
      </w:r>
    </w:p>
    <w:p w:rsidR="00076757" w:rsidRDefault="00076757" w:rsidP="00076757">
      <w:pPr>
        <w:rPr>
          <w:rFonts w:ascii="Bookman Old Style" w:hAnsi="Bookman Old Style"/>
        </w:rPr>
      </w:pPr>
    </w:p>
    <w:p w:rsidR="00076757" w:rsidRDefault="00076757" w:rsidP="00076757">
      <w:pPr>
        <w:jc w:val="both"/>
        <w:rPr>
          <w:rFonts w:ascii="Bookman Old Style" w:hAnsi="Bookman Old Style"/>
        </w:rPr>
      </w:pPr>
      <w:r>
        <w:rPr>
          <w:rFonts w:ascii="Bookman Old Style" w:hAnsi="Bookman Old Style"/>
        </w:rPr>
        <w:t>La</w:t>
      </w:r>
      <w:r w:rsidRPr="007E2A01">
        <w:rPr>
          <w:rFonts w:ascii="Bookman Old Style" w:hAnsi="Bookman Old Style"/>
        </w:rPr>
        <w:t xml:space="preserve"> Mesa Directiva de la Comisión Primera Constitucional Permanente del Senado de la República, de conformidad con el Acta MD-16 de 2 de noviembre de 2022, designó como ponente para primer debate a la honorable senadora María José Pizarra Rodríguez, fijando un término de ocho (8) días para rendir el correspondiente informe. </w:t>
      </w:r>
    </w:p>
    <w:p w:rsidR="00076757" w:rsidRDefault="00076757" w:rsidP="00076757">
      <w:pPr>
        <w:rPr>
          <w:rFonts w:ascii="Bookman Old Style" w:hAnsi="Bookman Old Style"/>
        </w:rPr>
      </w:pPr>
    </w:p>
    <w:p w:rsidR="00076757" w:rsidRDefault="00076757" w:rsidP="00076757">
      <w:pPr>
        <w:jc w:val="both"/>
        <w:rPr>
          <w:rFonts w:ascii="Bookman Old Style" w:hAnsi="Bookman Old Style"/>
        </w:rPr>
      </w:pPr>
      <w:r>
        <w:rPr>
          <w:rFonts w:ascii="Bookman Old Style" w:hAnsi="Bookman Old Style"/>
        </w:rPr>
        <w:t>El</w:t>
      </w:r>
      <w:r w:rsidRPr="007E2A01">
        <w:rPr>
          <w:rFonts w:ascii="Bookman Old Style" w:hAnsi="Bookman Old Style"/>
        </w:rPr>
        <w:t xml:space="preserve"> día 9 de noviembre de 2022, la Secretaría de la Comisión Primera Constitucional Permanente del Senado de la República recibe ponencia para primer debate del Proyecto de Acto Legislativo No. 033 de 2022 Senado - 002 de 2022 Cámara «POR MEDIO DEL CUAL SE MODIFICA EL ARTÍCULO 49 DE LA CONSTITUCIÓN POLÍTICA DE COLOMBIA, SE REGULARIZA EL CANNABIS DE USO ADULTO Y SE DICTAN OTRAS DISPOSICIONES» primera vuelta, suscrita por la honorable senadora María José Pizarra Rodríguez en la cual se propone dar primer debate en primera vuelta, y se envía a Secretaría General de Senado de la República para su publicación en la Gaceta del Congreso 1386 del 9 de noviembre de 2022. </w:t>
      </w:r>
    </w:p>
    <w:p w:rsidR="00076757" w:rsidRDefault="00076757" w:rsidP="00076757">
      <w:pPr>
        <w:rPr>
          <w:rFonts w:ascii="Bookman Old Style" w:hAnsi="Bookman Old Style"/>
        </w:rPr>
      </w:pPr>
    </w:p>
    <w:p w:rsidR="00076757" w:rsidRDefault="00076757" w:rsidP="00076757">
      <w:pPr>
        <w:jc w:val="both"/>
        <w:rPr>
          <w:rFonts w:ascii="Bookman Old Style" w:hAnsi="Bookman Old Style"/>
        </w:rPr>
      </w:pPr>
      <w:r>
        <w:rPr>
          <w:rFonts w:ascii="Bookman Old Style" w:hAnsi="Bookman Old Style"/>
        </w:rPr>
        <w:t>E</w:t>
      </w:r>
      <w:r w:rsidRPr="007E2A01">
        <w:rPr>
          <w:rFonts w:ascii="Bookman Old Style" w:hAnsi="Bookman Old Style"/>
        </w:rPr>
        <w:t>n la sesión del 17 de noviembre de 2022, según consta en Acta No. 25, se anunció que se discutiría y votaría el Proyecto de Acto Legislativo No. 033 de 2022 Senado - 002 de 2022 Cámara «POR MEDIO DEL CUAL SE MODIFICA EL ARTÍCULO 49 DE LA CONSTITUCIÓN POLÍTICA DE COLOMBIA, SE REGULARIZA EL CANNABIS DE USO ADULTO Y SE DICTAN OTRAS DISPOSICIONES» primera vuelta, según constancia</w:t>
      </w:r>
      <w:r>
        <w:rPr>
          <w:rFonts w:ascii="Bookman Old Style" w:hAnsi="Bookman Old Style"/>
        </w:rPr>
        <w:t xml:space="preserve"> de secretaría.</w:t>
      </w:r>
    </w:p>
    <w:p w:rsidR="00076757" w:rsidRDefault="00076757" w:rsidP="00076757">
      <w:pPr>
        <w:rPr>
          <w:rFonts w:ascii="Bookman Old Style" w:hAnsi="Bookman Old Style"/>
        </w:rPr>
      </w:pPr>
    </w:p>
    <w:p w:rsidR="00076757" w:rsidRDefault="00076757" w:rsidP="00076757">
      <w:pPr>
        <w:jc w:val="both"/>
        <w:rPr>
          <w:rFonts w:ascii="Bookman Old Style" w:hAnsi="Bookman Old Style"/>
        </w:rPr>
      </w:pPr>
      <w:r w:rsidRPr="007E2A01">
        <w:rPr>
          <w:rFonts w:ascii="Bookman Old Style" w:hAnsi="Bookman Old Style"/>
        </w:rPr>
        <w:t>Que en la Comisión Primera Constitucional Permanente del Senado de la República el día 22 de noviembre de 2022 fue considerado y aprobado el Proyecto de Acto Legislativo No. 033 de 2022 Senado - 002 de 2022 Cámara «POR MEDIO DEL CUAL SE MODIFICA EL ARTÍCULO 49 DE LA CONSTITUCIÓN POLÍTICA DE COLOMBIA, SE REGULARIZA EL CANNABIS DE USO ADULTO Y SE DICTAN OTRAS DISPOSICIONES» tal como consta en el Acta No. 26 del 22 de noviembre de 2022. La presidencia designa como ponente para segundo debate a la honorable senadora Mar</w:t>
      </w:r>
      <w:r>
        <w:rPr>
          <w:rFonts w:ascii="Bookman Old Style" w:hAnsi="Bookman Old Style"/>
        </w:rPr>
        <w:t xml:space="preserve">ía José Pizarra Rodríguez. </w:t>
      </w:r>
    </w:p>
    <w:p w:rsidR="00076757" w:rsidRDefault="00076757" w:rsidP="00076757">
      <w:pPr>
        <w:rPr>
          <w:rFonts w:ascii="Bookman Old Style" w:hAnsi="Bookman Old Style"/>
        </w:rPr>
      </w:pPr>
    </w:p>
    <w:p w:rsidR="00076757" w:rsidRDefault="00076757" w:rsidP="00076757">
      <w:pPr>
        <w:jc w:val="both"/>
        <w:rPr>
          <w:rFonts w:ascii="Bookman Old Style" w:hAnsi="Bookman Old Style"/>
        </w:rPr>
      </w:pPr>
      <w:r>
        <w:rPr>
          <w:rFonts w:ascii="Bookman Old Style" w:hAnsi="Bookman Old Style"/>
        </w:rPr>
        <w:lastRenderedPageBreak/>
        <w:t>E</w:t>
      </w:r>
      <w:r w:rsidRPr="007E2A01">
        <w:rPr>
          <w:rFonts w:ascii="Bookman Old Style" w:hAnsi="Bookman Old Style"/>
        </w:rPr>
        <w:t xml:space="preserve">l día 28 de noviembre de 2022, la Secretaría de la Comisión Primera Constitucional Permanente del Senado de la República recibe ponencia para segundo debate en primera vuelta del Proyecto de Acto Legislativo No. 033 de 2022 Senado - 002 de 2022 Cámara «POR MEDIO DEL CUAL SE MODIFICA EL ARTÍCULO 49 DE LA CONSTITUCIÓN POLÍTICA DE COLOMBIA, SE REGULARIZA EL CANNABIS DE USO ADULTO Y SE DICTAN OTRAS DISPOSICIONES» suscrita por la honorable senadora María José Pizarra Rodríguez y se envía a Secretaria General para su publicación en la Gaceta del Congreso 1536 del 29 de noviembre de 2022. </w:t>
      </w:r>
    </w:p>
    <w:p w:rsidR="00076757" w:rsidRDefault="00076757" w:rsidP="00076757">
      <w:pPr>
        <w:rPr>
          <w:rFonts w:ascii="Bookman Old Style" w:hAnsi="Bookman Old Style"/>
        </w:rPr>
      </w:pPr>
    </w:p>
    <w:p w:rsidR="00076757" w:rsidRDefault="00076757" w:rsidP="00076757">
      <w:pPr>
        <w:jc w:val="both"/>
        <w:rPr>
          <w:rFonts w:ascii="Bookman Old Style" w:hAnsi="Bookman Old Style"/>
        </w:rPr>
      </w:pPr>
      <w:r>
        <w:rPr>
          <w:rFonts w:ascii="Bookman Old Style" w:hAnsi="Bookman Old Style"/>
        </w:rPr>
        <w:t>D</w:t>
      </w:r>
      <w:r w:rsidRPr="007E2A01">
        <w:rPr>
          <w:rFonts w:ascii="Bookman Old Style" w:hAnsi="Bookman Old Style"/>
        </w:rPr>
        <w:t xml:space="preserve">e conformidad con la </w:t>
      </w:r>
      <w:r>
        <w:rPr>
          <w:rFonts w:ascii="Bookman Old Style" w:hAnsi="Bookman Old Style"/>
        </w:rPr>
        <w:t>exposición de la</w:t>
      </w:r>
      <w:r w:rsidRPr="007E2A01">
        <w:rPr>
          <w:rFonts w:ascii="Bookman Old Style" w:hAnsi="Bookman Old Style"/>
        </w:rPr>
        <w:t xml:space="preserve"> Segunda Ponencia y Texto Definitivo de fecha 6 de diciembre de 2022, suscrita por el Secretario General del honorable Senado de la República, en sesión plenaria del Senado de la República del 6 de diciembre de 2022, fue aprobado en segundo debate el texto definitivo con modificaciones del Proyecto de Acto Legislativo No. 033 de 2022 Senado - 002 de 2022 Cámara «POR MEDIO DEL CUAL SE MODIFICA EL ARTÍCULO 49 DE LA CONSTITUCIÓN POLÍTICA DE COLOMBIA, SE REGULARIZA EL CANNABIS DE USO ADULTO Y SE DICTAN OTRAS DISPOSICIONES». Lo anterior, según consta en el Acta No. 32 del 6 de diciembre de 2022, previo su anuncio en sesión plenaria del 29 de noviembre de 2022 correspondiente al Acta No. 31 y publicado en la Gaceta del Congreso 1638 del 13 de diciembre de 2022. </w:t>
      </w:r>
    </w:p>
    <w:p w:rsidR="00076757" w:rsidRDefault="00076757" w:rsidP="00076757">
      <w:pPr>
        <w:rPr>
          <w:rFonts w:ascii="Bookman Old Style" w:hAnsi="Bookman Old Style"/>
        </w:rPr>
      </w:pPr>
    </w:p>
    <w:p w:rsidR="00076757" w:rsidRDefault="00076757" w:rsidP="00076757">
      <w:pPr>
        <w:jc w:val="both"/>
        <w:rPr>
          <w:rFonts w:ascii="Bookman Old Style" w:hAnsi="Bookman Old Style"/>
        </w:rPr>
      </w:pPr>
      <w:r>
        <w:rPr>
          <w:rFonts w:ascii="Bookman Old Style" w:hAnsi="Bookman Old Style"/>
        </w:rPr>
        <w:t>D</w:t>
      </w:r>
      <w:r w:rsidRPr="007E2A01">
        <w:rPr>
          <w:rFonts w:ascii="Bookman Old Style" w:hAnsi="Bookman Old Style"/>
        </w:rPr>
        <w:t xml:space="preserve">e conformidad con la </w:t>
      </w:r>
      <w:r>
        <w:rPr>
          <w:rFonts w:ascii="Bookman Old Style" w:hAnsi="Bookman Old Style"/>
        </w:rPr>
        <w:t>exposición del</w:t>
      </w:r>
      <w:r w:rsidRPr="007E2A01">
        <w:rPr>
          <w:rFonts w:ascii="Bookman Old Style" w:hAnsi="Bookman Old Style"/>
        </w:rPr>
        <w:t xml:space="preserve"> Informe de Conciliación de fecha 13 de diciembre de 2022, suscrita por el Secretario General del honorable Senado de la República, en sesión Plenaria del Senado de la República del día 13 de diciembre de 2022, fue considerado y aprobado el Informe de Conciliación suscrito por la honorable Senadora María José Pizarra Rodríguez al Proyecto de Acto Legislativo No. 033 de 2022 Senado - 002 de 2022 Cámara «POR MEDIO DEL CUAL SE MODIFICA EL ARTÍCULO 49 DE LA CONSTITUCIÓN POLÍTICA DE COLOMBIA, SE REGULARIZA EL CANNABIS DE USO ADULTO Y SE DICTAN OTRAS DISPOSICIONES». Lo anterior, según consta en el Acta No. 34 del 13 de diciembre de 2022, previo su anuncio en sesión plenaria del 12 de diciembre de 2022 correspondiente al Acta No. 33 y publicado en la Gaceta del Congreso 1630 del 12 de diciembre de 2022. </w:t>
      </w:r>
    </w:p>
    <w:p w:rsidR="00076757" w:rsidRDefault="00076757" w:rsidP="00076757">
      <w:pPr>
        <w:rPr>
          <w:rFonts w:ascii="Bookman Old Style" w:hAnsi="Bookman Old Style"/>
        </w:rPr>
      </w:pPr>
    </w:p>
    <w:p w:rsidR="00076757" w:rsidRDefault="00076757" w:rsidP="00076757">
      <w:pPr>
        <w:jc w:val="both"/>
        <w:rPr>
          <w:rFonts w:ascii="Bookman Old Style" w:hAnsi="Bookman Old Style"/>
        </w:rPr>
      </w:pPr>
      <w:r>
        <w:rPr>
          <w:rFonts w:ascii="Bookman Old Style" w:hAnsi="Bookman Old Style"/>
        </w:rPr>
        <w:t>D</w:t>
      </w:r>
      <w:r w:rsidRPr="007E2A01">
        <w:rPr>
          <w:rFonts w:ascii="Bookman Old Style" w:hAnsi="Bookman Old Style"/>
        </w:rPr>
        <w:t xml:space="preserve">e </w:t>
      </w:r>
      <w:r>
        <w:rPr>
          <w:rFonts w:ascii="Bookman Old Style" w:hAnsi="Bookman Old Style"/>
        </w:rPr>
        <w:t>conformidad con la</w:t>
      </w:r>
      <w:r w:rsidRPr="007E2A01">
        <w:rPr>
          <w:rFonts w:ascii="Bookman Old Style" w:hAnsi="Bookman Old Style"/>
        </w:rPr>
        <w:t xml:space="preserve"> Comisión Accidental de Mediación de fecha 19 de diciembre de 2022, suscrita por el Secretario General de la honorable Cámara de Representantes, en sesión Plenaria de la Cámara de Representantes del día 14 de diciembre de 2022, fue considerado y aprobado el Informe de Conciliación presentado por el honorable represen</w:t>
      </w:r>
      <w:r>
        <w:rPr>
          <w:rFonts w:ascii="Bookman Old Style" w:hAnsi="Bookman Old Style"/>
        </w:rPr>
        <w:t>tante a la Cámara Juan Carlos Lo</w:t>
      </w:r>
      <w:r w:rsidRPr="007E2A01">
        <w:rPr>
          <w:rFonts w:ascii="Bookman Old Style" w:hAnsi="Bookman Old Style"/>
        </w:rPr>
        <w:t xml:space="preserve">zada Vargas al Proyecto de Acto Legislativo No. 033 de 2022 Senado - 002 de 2022 Cámara «POR MEDIO DEL CUAL SE MODIFICA EL ARTÍCULO 49 DE LA CONSTITUCIÓN POLÍTICA DE COLOMBIA, SE REGULARIZA EL CANNABIS DE USO ADULTO Y SE DICTAN OTRAS DISPOSICIONES» Lo anterior, según consta en el Acta No. 040 del 14 de diciembre de 2022, previo su anuncio en sesión plenaria del 13 de diciembre de 2022 correspondiente al Acta No. 039 y publicado en la Gaceta del Congreso 1631 del 12 de diciembre de 2022. </w:t>
      </w:r>
    </w:p>
    <w:p w:rsidR="00076757" w:rsidRDefault="00076757" w:rsidP="00076757">
      <w:pPr>
        <w:rPr>
          <w:rFonts w:ascii="Bookman Old Style" w:hAnsi="Bookman Old Style"/>
        </w:rPr>
      </w:pPr>
    </w:p>
    <w:p w:rsidR="00076757" w:rsidRDefault="00076757" w:rsidP="00076757">
      <w:pPr>
        <w:rPr>
          <w:rFonts w:ascii="Bookman Old Style" w:hAnsi="Bookman Old Style"/>
        </w:rPr>
      </w:pPr>
      <w:r>
        <w:rPr>
          <w:rFonts w:ascii="Bookman Old Style" w:hAnsi="Bookman Old Style"/>
        </w:rPr>
        <w:lastRenderedPageBreak/>
        <w:t>E</w:t>
      </w:r>
      <w:r w:rsidRPr="007E2A01">
        <w:rPr>
          <w:rFonts w:ascii="Bookman Old Style" w:hAnsi="Bookman Old Style"/>
        </w:rPr>
        <w:t>l Congreso de la República mediante comunicación del 29 de diciembre de 2022, radicada el día 29 de diciembre de 2022 en la Presidencia de la República, remitió para el trámite pertinente el Proyecto de Acto Legislativo No. 033 de 2022 Senado - 002 de 2022 Cámara «POR MEDIO DEL CUAL SE MODIFICA EL ARTÍCULO 49 DE LA CONSTITUCIÓN POLÍTICA DE COLOMBIA, SE REGULARIZA EL CANNABIS DE USO ADULTO Y SE DICTAN OTRAS DISPOSICIONES» (Primera Vuelta).</w:t>
      </w:r>
    </w:p>
    <w:p w:rsidR="00076757" w:rsidRDefault="00076757" w:rsidP="00076757">
      <w:pPr>
        <w:rPr>
          <w:rFonts w:ascii="Bookman Old Style" w:hAnsi="Bookman Old Style"/>
        </w:rPr>
      </w:pPr>
    </w:p>
    <w:p w:rsidR="00076757" w:rsidRDefault="00076757" w:rsidP="00076757">
      <w:pPr>
        <w:rPr>
          <w:rFonts w:ascii="Bookman Old Style" w:hAnsi="Bookman Old Style"/>
        </w:rPr>
      </w:pPr>
      <w:r>
        <w:rPr>
          <w:rFonts w:ascii="Bookman Old Style" w:hAnsi="Bookman Old Style"/>
        </w:rPr>
        <w:t>El Gobierno Nacional, en cumplimiento de los dispuesto por el Artículo 375 de la Constitución Política de Colombia, el día 12 de enero de 2023 publicó el decreto 029 de 2023</w:t>
      </w:r>
      <w:r w:rsidRPr="00125B30">
        <w:rPr>
          <w:rFonts w:ascii="Bookman Old Style" w:hAnsi="Bookman Old Style"/>
        </w:rPr>
        <w:t xml:space="preserve"> “Por el cual se ordena la publicación del Proyecto de Acto Legislativo No. 033 de 2022 Senado - 002 de 2022 Cámara «POR MEDIO DEL CUAL SE MODIFICA EL ARTÍCULO 49 DE LA CONSTITUCIÓN POLÍTICA DE COLOMBIA, SE REGULARIZA EL CANNABIS DE USO ADULTO Y SE DICTAN OTRAS DISPOSICIONES» (Primera Vuelta)”</w:t>
      </w:r>
      <w:r>
        <w:rPr>
          <w:rFonts w:ascii="Bookman Old Style" w:hAnsi="Bookman Old Style"/>
        </w:rPr>
        <w:t>.</w:t>
      </w:r>
    </w:p>
    <w:p w:rsidR="00076757" w:rsidRDefault="00076757" w:rsidP="00076757">
      <w:pPr>
        <w:rPr>
          <w:rFonts w:ascii="Bookman Old Style" w:hAnsi="Bookman Old Style"/>
        </w:rPr>
      </w:pPr>
    </w:p>
    <w:p w:rsidR="00076757" w:rsidRPr="007E2A01" w:rsidRDefault="00076757" w:rsidP="00076757">
      <w:pPr>
        <w:rPr>
          <w:rFonts w:ascii="Bookman Old Style" w:hAnsi="Bookman Old Style"/>
        </w:rPr>
      </w:pPr>
      <w:r>
        <w:rPr>
          <w:rFonts w:ascii="Bookman Old Style" w:hAnsi="Bookman Old Style"/>
        </w:rPr>
        <w:t xml:space="preserve">La Comisión Primera de la Cámara de Representantes, en sesión del martes 28 de marzo, aprobó con las mayorías requeridas el primer debate de segunda vuelta del presente Acto Legislativo.   </w:t>
      </w:r>
    </w:p>
    <w:p w:rsidR="00076757" w:rsidRDefault="00076757" w:rsidP="00076757"/>
    <w:p w:rsidR="00076757" w:rsidRPr="007E2A01" w:rsidRDefault="00076757" w:rsidP="00076757">
      <w:pPr>
        <w:rPr>
          <w:rFonts w:eastAsia="Calibri"/>
        </w:rPr>
      </w:pPr>
    </w:p>
    <w:p w:rsidR="00076757" w:rsidRDefault="00076757" w:rsidP="00076757">
      <w:pPr>
        <w:pStyle w:val="Ttulo2"/>
        <w:numPr>
          <w:ilvl w:val="0"/>
          <w:numId w:val="35"/>
        </w:numPr>
        <w:ind w:left="0" w:firstLine="0"/>
        <w:jc w:val="center"/>
        <w:rPr>
          <w:rFonts w:ascii="Bookman Old Style" w:eastAsia="Calibri" w:hAnsi="Bookman Old Style" w:cs="Calibri"/>
          <w:sz w:val="22"/>
          <w:szCs w:val="24"/>
        </w:rPr>
      </w:pPr>
      <w:r>
        <w:rPr>
          <w:rFonts w:ascii="Bookman Old Style" w:eastAsia="Calibri" w:hAnsi="Bookman Old Style" w:cs="Calibri"/>
          <w:sz w:val="22"/>
          <w:szCs w:val="24"/>
        </w:rPr>
        <w:t>ANTECEDENTES DEL PROYECTO.</w:t>
      </w:r>
    </w:p>
    <w:p w:rsidR="00076757" w:rsidRPr="00125B30" w:rsidRDefault="00076757" w:rsidP="00076757">
      <w:pPr>
        <w:rPr>
          <w:rFonts w:ascii="Bookman Old Style" w:eastAsia="Calibri" w:hAnsi="Bookman Old Style"/>
        </w:rPr>
      </w:pPr>
    </w:p>
    <w:p w:rsidR="00076757" w:rsidRDefault="00076757" w:rsidP="00076757">
      <w:pPr>
        <w:jc w:val="both"/>
        <w:rPr>
          <w:rFonts w:ascii="Bookman Old Style" w:hAnsi="Bookman Old Style" w:cs="Arial"/>
        </w:rPr>
      </w:pPr>
      <w:r w:rsidRPr="00125B30">
        <w:rPr>
          <w:rFonts w:ascii="Bookman Old Style" w:hAnsi="Bookman Old Style" w:cs="Arial"/>
        </w:rPr>
        <w:t>Esta es la cuarta vez que se radica el Proyecto</w:t>
      </w:r>
      <w:r>
        <w:rPr>
          <w:rFonts w:ascii="Bookman Old Style" w:hAnsi="Bookman Old Style" w:cs="Arial"/>
        </w:rPr>
        <w:t xml:space="preserve"> y la primera vez que logra llegar hasta segundo debate de segunda vuelta</w:t>
      </w:r>
      <w:r w:rsidRPr="00125B30">
        <w:rPr>
          <w:rFonts w:ascii="Bookman Old Style" w:hAnsi="Bookman Old Style" w:cs="Arial"/>
        </w:rPr>
        <w:t xml:space="preserve">. En </w:t>
      </w:r>
      <w:r>
        <w:rPr>
          <w:rFonts w:ascii="Bookman Old Style" w:hAnsi="Bookman Old Style" w:cs="Arial"/>
        </w:rPr>
        <w:t>dos</w:t>
      </w:r>
      <w:r w:rsidRPr="00125B30">
        <w:rPr>
          <w:rFonts w:ascii="Bookman Old Style" w:hAnsi="Bookman Old Style" w:cs="Arial"/>
        </w:rPr>
        <w:t xml:space="preserve"> ocasiones pasadas se aprobó en Primer Debate en la Comisión Primera de la Cámara de Representantes, pero posteriormente se archivó por no alcanzar las mayorías necesarias en la Plenaria para continuar su trámite, de acuerdo a lo dispuesto en los artículos 224 y 225 de la Ley 5ta de 1992.</w:t>
      </w:r>
    </w:p>
    <w:p w:rsidR="00076757" w:rsidRPr="00125B30" w:rsidRDefault="00076757" w:rsidP="00076757">
      <w:pPr>
        <w:jc w:val="both"/>
        <w:rPr>
          <w:rFonts w:ascii="Bookman Old Style" w:hAnsi="Bookman Old Style" w:cs="Arial"/>
        </w:rPr>
      </w:pPr>
    </w:p>
    <w:p w:rsidR="00076757" w:rsidRPr="00125B30" w:rsidRDefault="00076757" w:rsidP="00076757">
      <w:pPr>
        <w:jc w:val="both"/>
        <w:rPr>
          <w:rFonts w:ascii="Bookman Old Style" w:hAnsi="Bookman Old Style" w:cs="Arial"/>
        </w:rPr>
      </w:pPr>
      <w:r w:rsidRPr="00125B30">
        <w:rPr>
          <w:rFonts w:ascii="Bookman Old Style" w:hAnsi="Bookman Old Style" w:cs="Arial"/>
        </w:rPr>
        <w:t xml:space="preserve">A continuación, exponemos los principales argumentos que fueron esbozados tanto en el Proyecto original como en las ponencias rendidas hasta ahora y que compartimos en su integridad. </w:t>
      </w:r>
    </w:p>
    <w:p w:rsidR="00076757" w:rsidRPr="009B6C3A" w:rsidRDefault="00076757" w:rsidP="00076757">
      <w:pPr>
        <w:jc w:val="both"/>
        <w:rPr>
          <w:rFonts w:ascii="Bookman Old Style" w:eastAsia="Calibri" w:hAnsi="Bookman Old Style" w:cs="Calibri"/>
          <w:bCs/>
          <w:iCs/>
          <w:szCs w:val="24"/>
        </w:rPr>
      </w:pPr>
    </w:p>
    <w:p w:rsidR="00076757" w:rsidRPr="009B6C3A" w:rsidRDefault="00076757" w:rsidP="00076757">
      <w:pPr>
        <w:jc w:val="both"/>
        <w:rPr>
          <w:rFonts w:eastAsia="Calibri"/>
        </w:rPr>
      </w:pPr>
    </w:p>
    <w:p w:rsidR="00076757" w:rsidRPr="00485CC5" w:rsidRDefault="00076757" w:rsidP="00076757">
      <w:pPr>
        <w:pStyle w:val="Ttulo2"/>
        <w:numPr>
          <w:ilvl w:val="0"/>
          <w:numId w:val="35"/>
        </w:numPr>
        <w:jc w:val="center"/>
        <w:rPr>
          <w:rFonts w:ascii="Bookman Old Style" w:eastAsia="Calibri" w:hAnsi="Bookman Old Style" w:cs="Calibri"/>
          <w:sz w:val="22"/>
          <w:szCs w:val="24"/>
        </w:rPr>
      </w:pPr>
      <w:r w:rsidRPr="00485CC5">
        <w:rPr>
          <w:rFonts w:ascii="Bookman Old Style" w:eastAsia="Calibri" w:hAnsi="Bookman Old Style" w:cs="Calibri"/>
          <w:sz w:val="22"/>
          <w:szCs w:val="24"/>
        </w:rPr>
        <w:t>OBJETO DEL PROYECTO DE ACTO LEGISLATIVO</w:t>
      </w:r>
      <w:r>
        <w:rPr>
          <w:rFonts w:ascii="Bookman Old Style" w:eastAsia="Calibri" w:hAnsi="Bookman Old Style" w:cs="Calibri"/>
          <w:sz w:val="22"/>
          <w:szCs w:val="24"/>
        </w:rPr>
        <w:t>.</w:t>
      </w:r>
    </w:p>
    <w:p w:rsidR="00076757" w:rsidRPr="00485CC5" w:rsidRDefault="00076757" w:rsidP="00076757">
      <w:pPr>
        <w:pStyle w:val="Ttulo2"/>
        <w:ind w:left="0"/>
        <w:rPr>
          <w:rFonts w:ascii="Bookman Old Style" w:eastAsia="Calibri" w:hAnsi="Bookman Old Style" w:cs="Calibri"/>
          <w:b w:val="0"/>
          <w:sz w:val="22"/>
          <w:szCs w:val="24"/>
        </w:rPr>
      </w:pPr>
    </w:p>
    <w:p w:rsidR="00076757" w:rsidRPr="00C37B21" w:rsidRDefault="00076757" w:rsidP="00076757">
      <w:pPr>
        <w:pStyle w:val="Ttulo2"/>
        <w:ind w:left="0"/>
        <w:jc w:val="both"/>
        <w:rPr>
          <w:rFonts w:ascii="Bookman Old Style" w:eastAsia="Calibri" w:hAnsi="Bookman Old Style" w:cs="Calibri"/>
          <w:b w:val="0"/>
          <w:sz w:val="22"/>
          <w:szCs w:val="24"/>
        </w:rPr>
      </w:pPr>
      <w:r w:rsidRPr="00485CC5">
        <w:rPr>
          <w:rFonts w:ascii="Bookman Old Style" w:eastAsia="Calibri" w:hAnsi="Bookman Old Style" w:cs="Calibri"/>
          <w:b w:val="0"/>
          <w:sz w:val="22"/>
          <w:szCs w:val="24"/>
        </w:rPr>
        <w:t>El presente Proyecto de Acto Legislativo tiene como objeto permitir la regularización del uso del cannabis por parte de mayores de edad</w:t>
      </w:r>
      <w:r>
        <w:rPr>
          <w:rFonts w:ascii="Bookman Old Style" w:eastAsia="Calibri" w:hAnsi="Bookman Old Style" w:cs="Calibri"/>
          <w:b w:val="0"/>
          <w:sz w:val="22"/>
          <w:szCs w:val="24"/>
        </w:rPr>
        <w:t>,</w:t>
      </w:r>
      <w:r w:rsidRPr="00485CC5">
        <w:rPr>
          <w:rFonts w:ascii="Bookman Old Style" w:eastAsia="Calibri" w:hAnsi="Bookman Old Style" w:cs="Calibri"/>
          <w:b w:val="0"/>
          <w:sz w:val="22"/>
          <w:szCs w:val="24"/>
        </w:rPr>
        <w:t xml:space="preserve"> </w:t>
      </w:r>
      <w:r>
        <w:rPr>
          <w:rFonts w:ascii="Bookman Old Style" w:eastAsia="Calibri" w:hAnsi="Bookman Old Style" w:cs="Calibri"/>
          <w:b w:val="0"/>
          <w:sz w:val="22"/>
          <w:szCs w:val="24"/>
        </w:rPr>
        <w:t>as</w:t>
      </w:r>
      <w:r w:rsidRPr="00485CC5">
        <w:rPr>
          <w:rFonts w:ascii="Bookman Old Style" w:eastAsia="Calibri" w:hAnsi="Bookman Old Style" w:cs="Calibri"/>
          <w:b w:val="0"/>
          <w:sz w:val="22"/>
          <w:szCs w:val="24"/>
        </w:rPr>
        <w:t xml:space="preserve">í como </w:t>
      </w:r>
      <w:r>
        <w:rPr>
          <w:rFonts w:ascii="Bookman Old Style" w:eastAsia="Calibri" w:hAnsi="Bookman Old Style" w:cs="Calibri"/>
          <w:b w:val="0"/>
          <w:sz w:val="22"/>
          <w:szCs w:val="24"/>
        </w:rPr>
        <w:t>la unificación de la normativa actual respecto a la utilización del cannabis para uso científico</w:t>
      </w:r>
      <w:r w:rsidRPr="00485CC5">
        <w:rPr>
          <w:rFonts w:ascii="Bookman Old Style" w:eastAsia="Calibri" w:hAnsi="Bookman Old Style" w:cs="Calibri"/>
          <w:b w:val="0"/>
          <w:sz w:val="22"/>
          <w:szCs w:val="24"/>
        </w:rPr>
        <w:t xml:space="preserve">, siempre y cuando se cumplan los requerimientos establecidos. Lo anterior </w:t>
      </w:r>
      <w:r>
        <w:rPr>
          <w:rFonts w:ascii="Bookman Old Style" w:eastAsia="Calibri" w:hAnsi="Bookman Old Style" w:cs="Calibri"/>
          <w:b w:val="0"/>
          <w:sz w:val="22"/>
          <w:szCs w:val="24"/>
        </w:rPr>
        <w:t>con la finalidad</w:t>
      </w:r>
      <w:r w:rsidRPr="00485CC5">
        <w:rPr>
          <w:rFonts w:ascii="Bookman Old Style" w:eastAsia="Calibri" w:hAnsi="Bookman Old Style" w:cs="Calibri"/>
          <w:b w:val="0"/>
          <w:sz w:val="22"/>
          <w:szCs w:val="24"/>
        </w:rPr>
        <w:t xml:space="preserve"> </w:t>
      </w:r>
      <w:r>
        <w:rPr>
          <w:rFonts w:ascii="Bookman Old Style" w:eastAsia="Calibri" w:hAnsi="Bookman Old Style" w:cs="Calibri"/>
          <w:b w:val="0"/>
          <w:sz w:val="22"/>
          <w:szCs w:val="24"/>
        </w:rPr>
        <w:t>de reconocer y garantizar los derechos fundamentales a la igualdad y al libre desarrollo de la personalidad, unificar las referencias constitucionales, legales y jurisprudenciales sobre la materia y plantear una estrategia distinta para</w:t>
      </w:r>
      <w:r w:rsidRPr="00485CC5">
        <w:rPr>
          <w:rFonts w:ascii="Bookman Old Style" w:eastAsia="Calibri" w:hAnsi="Bookman Old Style" w:cs="Calibri"/>
          <w:b w:val="0"/>
          <w:sz w:val="22"/>
          <w:szCs w:val="24"/>
        </w:rPr>
        <w:t xml:space="preserve"> combatir el tráfico</w:t>
      </w:r>
      <w:r>
        <w:rPr>
          <w:rFonts w:ascii="Bookman Old Style" w:eastAsia="Calibri" w:hAnsi="Bookman Old Style" w:cs="Calibri"/>
          <w:b w:val="0"/>
          <w:sz w:val="22"/>
          <w:szCs w:val="24"/>
        </w:rPr>
        <w:t xml:space="preserve"> ilegal</w:t>
      </w:r>
      <w:r w:rsidRPr="00485CC5">
        <w:rPr>
          <w:rFonts w:ascii="Bookman Old Style" w:eastAsia="Calibri" w:hAnsi="Bookman Old Style" w:cs="Calibri"/>
          <w:b w:val="0"/>
          <w:sz w:val="22"/>
          <w:szCs w:val="24"/>
        </w:rPr>
        <w:t xml:space="preserve"> de cannabis, </w:t>
      </w:r>
      <w:r>
        <w:rPr>
          <w:rFonts w:ascii="Bookman Old Style" w:eastAsia="Calibri" w:hAnsi="Bookman Old Style" w:cs="Calibri"/>
          <w:b w:val="0"/>
          <w:sz w:val="22"/>
          <w:szCs w:val="24"/>
        </w:rPr>
        <w:t>como táctica para reducir la violencia en el país.</w:t>
      </w:r>
    </w:p>
    <w:p w:rsidR="00076757" w:rsidRPr="00485CC5" w:rsidRDefault="00076757" w:rsidP="00076757">
      <w:pPr>
        <w:rPr>
          <w:rFonts w:ascii="Bookman Old Style" w:eastAsia="Calibri" w:hAnsi="Bookman Old Style" w:cs="Calibri"/>
          <w:szCs w:val="24"/>
        </w:rPr>
      </w:pPr>
    </w:p>
    <w:p w:rsidR="00076757" w:rsidRPr="00485CC5" w:rsidRDefault="00076757" w:rsidP="00076757">
      <w:pPr>
        <w:pStyle w:val="Ttulo2"/>
        <w:numPr>
          <w:ilvl w:val="0"/>
          <w:numId w:val="35"/>
        </w:numPr>
        <w:ind w:left="-1133" w:firstLine="0"/>
        <w:jc w:val="center"/>
        <w:rPr>
          <w:rFonts w:ascii="Bookman Old Style" w:eastAsia="Calibri" w:hAnsi="Bookman Old Style" w:cs="Calibri"/>
          <w:sz w:val="22"/>
          <w:szCs w:val="24"/>
        </w:rPr>
      </w:pPr>
      <w:r w:rsidRPr="00485CC5">
        <w:rPr>
          <w:rFonts w:ascii="Bookman Old Style" w:eastAsia="Calibri" w:hAnsi="Bookman Old Style" w:cs="Calibri"/>
          <w:sz w:val="22"/>
          <w:szCs w:val="24"/>
        </w:rPr>
        <w:t>PROBLEMA A RESOLVER</w:t>
      </w:r>
      <w:r>
        <w:rPr>
          <w:rFonts w:ascii="Bookman Old Style" w:eastAsia="Calibri" w:hAnsi="Bookman Old Style" w:cs="Calibri"/>
          <w:sz w:val="22"/>
          <w:szCs w:val="24"/>
        </w:rPr>
        <w:t>.</w:t>
      </w:r>
    </w:p>
    <w:p w:rsidR="00076757" w:rsidRPr="00485CC5" w:rsidRDefault="00076757" w:rsidP="00076757">
      <w:pPr>
        <w:ind w:left="822"/>
        <w:rPr>
          <w:rFonts w:ascii="Bookman Old Style" w:hAnsi="Bookman Old Style" w:cs="Calibri"/>
          <w:szCs w:val="24"/>
        </w:rPr>
      </w:pPr>
    </w:p>
    <w:p w:rsidR="00076757" w:rsidRPr="00510F82" w:rsidRDefault="00076757" w:rsidP="00076757">
      <w:pPr>
        <w:jc w:val="both"/>
        <w:rPr>
          <w:rFonts w:ascii="Bookman Old Style" w:eastAsia="Calibri" w:hAnsi="Bookman Old Style" w:cs="Calibri"/>
          <w:sz w:val="20"/>
          <w:szCs w:val="24"/>
        </w:rPr>
      </w:pPr>
      <w:r w:rsidRPr="00510F82">
        <w:rPr>
          <w:rFonts w:ascii="Bookman Old Style" w:eastAsia="Calibri" w:hAnsi="Bookman Old Style" w:cs="Arial"/>
          <w:szCs w:val="24"/>
        </w:rPr>
        <w:lastRenderedPageBreak/>
        <w:t xml:space="preserve">En Colombia, </w:t>
      </w:r>
      <w:r>
        <w:rPr>
          <w:rFonts w:ascii="Bookman Old Style" w:eastAsia="Calibri" w:hAnsi="Bookman Old Style" w:cs="Arial"/>
          <w:szCs w:val="24"/>
        </w:rPr>
        <w:t xml:space="preserve">a partir de la modificación </w:t>
      </w:r>
      <w:r w:rsidRPr="00510F82">
        <w:rPr>
          <w:rFonts w:ascii="Bookman Old Style" w:eastAsia="Calibri" w:hAnsi="Bookman Old Style" w:cs="Arial"/>
          <w:szCs w:val="24"/>
        </w:rPr>
        <w:t>de</w:t>
      </w:r>
      <w:r>
        <w:rPr>
          <w:rFonts w:ascii="Bookman Old Style" w:eastAsia="Calibri" w:hAnsi="Bookman Old Style" w:cs="Arial"/>
          <w:szCs w:val="24"/>
        </w:rPr>
        <w:t>l</w:t>
      </w:r>
      <w:r w:rsidRPr="00510F82">
        <w:rPr>
          <w:rFonts w:ascii="Bookman Old Style" w:eastAsia="Calibri" w:hAnsi="Bookman Old Style" w:cs="Arial"/>
          <w:szCs w:val="24"/>
        </w:rPr>
        <w:t xml:space="preserve"> artículo 49 Constitucional</w:t>
      </w:r>
      <w:r>
        <w:rPr>
          <w:rFonts w:ascii="Bookman Old Style" w:eastAsia="Calibri" w:hAnsi="Bookman Old Style" w:cs="Arial"/>
          <w:szCs w:val="24"/>
        </w:rPr>
        <w:t xml:space="preserve"> </w:t>
      </w:r>
      <w:r w:rsidRPr="00510F82">
        <w:rPr>
          <w:rFonts w:ascii="Bookman Old Style" w:eastAsia="Calibri" w:hAnsi="Bookman Old Style" w:cs="Arial"/>
          <w:szCs w:val="24"/>
        </w:rPr>
        <w:t>por el Acto Legislativo 02 de 2009</w:t>
      </w:r>
      <w:r w:rsidRPr="00510F82">
        <w:rPr>
          <w:rStyle w:val="Refdenotaalpie"/>
          <w:rFonts w:ascii="Bookman Old Style" w:eastAsia="Calibri" w:hAnsi="Bookman Old Style" w:cs="Arial"/>
          <w:szCs w:val="24"/>
        </w:rPr>
        <w:footnoteReference w:id="1"/>
      </w:r>
      <w:r w:rsidRPr="00510F82">
        <w:rPr>
          <w:rFonts w:ascii="Bookman Old Style" w:eastAsia="Calibri" w:hAnsi="Bookman Old Style" w:cs="Arial"/>
          <w:szCs w:val="24"/>
        </w:rPr>
        <w:t xml:space="preserve">, está prohibido el porte y consumo de cualquier tipo de sustancia estupefaciente o psicotrópica </w:t>
      </w:r>
      <w:r w:rsidRPr="00510F82">
        <w:rPr>
          <w:rFonts w:ascii="Bookman Old Style" w:eastAsia="Calibri" w:hAnsi="Bookman Old Style" w:cs="Arial"/>
          <w:i/>
          <w:szCs w:val="24"/>
        </w:rPr>
        <w:t>(</w:t>
      </w:r>
      <w:r w:rsidRPr="00510F82">
        <w:rPr>
          <w:rFonts w:ascii="Bookman Old Style" w:hAnsi="Bookman Old Style" w:cs="Arial"/>
          <w:i/>
          <w:szCs w:val="24"/>
        </w:rPr>
        <w:t xml:space="preserve">hojas de coca, cocaína, opio, dihidromorfina, heroína, metadona, morfina, </w:t>
      </w:r>
      <w:r w:rsidRPr="00510F82">
        <w:rPr>
          <w:rFonts w:ascii="Bookman Old Style" w:eastAsia="Calibri" w:hAnsi="Bookman Old Style" w:cs="Arial"/>
          <w:i/>
          <w:szCs w:val="24"/>
        </w:rPr>
        <w:t>cannabis y su resina y los extractos y tinturas de cannabis, amapola, droga sintética, nitrato de amilo popper, ketamina, GHB, entre otras)</w:t>
      </w:r>
      <w:r w:rsidRPr="00510F82">
        <w:rPr>
          <w:rFonts w:ascii="Bookman Old Style" w:eastAsia="Calibri" w:hAnsi="Bookman Old Style" w:cs="Arial"/>
          <w:szCs w:val="24"/>
        </w:rPr>
        <w:t xml:space="preserve">, salvo prescripción médica. Prohibición que fue incluida </w:t>
      </w:r>
      <w:r>
        <w:rPr>
          <w:rFonts w:ascii="Bookman Old Style" w:eastAsia="Calibri" w:hAnsi="Bookman Old Style" w:cs="Arial"/>
          <w:szCs w:val="24"/>
        </w:rPr>
        <w:t xml:space="preserve">bajo el argumento </w:t>
      </w:r>
      <w:r w:rsidRPr="00510F82">
        <w:rPr>
          <w:rFonts w:ascii="Bookman Old Style" w:eastAsia="Calibri" w:hAnsi="Bookman Old Style" w:cs="Arial"/>
          <w:szCs w:val="24"/>
        </w:rPr>
        <w:t>de proteger la salud pública de los colombianos.</w:t>
      </w:r>
    </w:p>
    <w:p w:rsidR="00076757" w:rsidRDefault="00076757" w:rsidP="00076757">
      <w:pPr>
        <w:jc w:val="both"/>
        <w:rPr>
          <w:rFonts w:ascii="Bookman Old Style" w:eastAsia="Calibri" w:hAnsi="Bookman Old Style" w:cs="Calibri"/>
          <w:szCs w:val="24"/>
        </w:rPr>
      </w:pPr>
    </w:p>
    <w:p w:rsidR="00076757" w:rsidRPr="00510F82" w:rsidRDefault="00076757" w:rsidP="00076757">
      <w:pPr>
        <w:jc w:val="both"/>
        <w:rPr>
          <w:rFonts w:ascii="Bookman Old Style" w:eastAsia="Calibri" w:hAnsi="Bookman Old Style" w:cs="Arial"/>
          <w:szCs w:val="24"/>
        </w:rPr>
      </w:pPr>
      <w:r w:rsidRPr="00510F82">
        <w:rPr>
          <w:rFonts w:ascii="Bookman Old Style" w:eastAsia="Calibri" w:hAnsi="Bookman Old Style" w:cs="Arial"/>
          <w:szCs w:val="24"/>
        </w:rPr>
        <w:t>Este listado incluye el THC CANNABIS, sustancia de reconocidos efectos terapéuticos de tipo anestésico, anticonvulsivante, anti glaucomatoso y antiasmático</w:t>
      </w:r>
      <w:r>
        <w:rPr>
          <w:rFonts w:ascii="Bookman Old Style" w:eastAsia="Calibri" w:hAnsi="Bookman Old Style" w:cs="Arial"/>
          <w:szCs w:val="24"/>
        </w:rPr>
        <w:t>, que además sirve</w:t>
      </w:r>
      <w:r w:rsidRPr="00510F82">
        <w:rPr>
          <w:rFonts w:ascii="Bookman Old Style" w:eastAsia="Calibri" w:hAnsi="Bookman Old Style" w:cs="Arial"/>
          <w:szCs w:val="24"/>
        </w:rPr>
        <w:t xml:space="preserve"> para uso en el tratamiento del glaucoma, del asma y de la epilepsia</w:t>
      </w:r>
      <w:r w:rsidRPr="00510F82">
        <w:rPr>
          <w:rStyle w:val="Refdenotaalpie"/>
          <w:rFonts w:ascii="Bookman Old Style" w:eastAsia="Calibri" w:hAnsi="Bookman Old Style" w:cs="Arial"/>
          <w:szCs w:val="24"/>
        </w:rPr>
        <w:footnoteReference w:id="2"/>
      </w:r>
      <w:r w:rsidRPr="00510F82">
        <w:rPr>
          <w:rFonts w:ascii="Bookman Old Style" w:eastAsia="Calibri" w:hAnsi="Bookman Old Style" w:cs="Arial"/>
          <w:szCs w:val="24"/>
        </w:rPr>
        <w:t xml:space="preserve">. </w:t>
      </w:r>
      <w:r>
        <w:rPr>
          <w:rFonts w:ascii="Bookman Old Style" w:eastAsia="Calibri" w:hAnsi="Bookman Old Style" w:cs="Arial"/>
          <w:szCs w:val="24"/>
        </w:rPr>
        <w:t xml:space="preserve">Esta sustancia fue eliminada </w:t>
      </w:r>
      <w:r w:rsidRPr="00510F82">
        <w:rPr>
          <w:rFonts w:ascii="Bookman Old Style" w:eastAsia="Calibri" w:hAnsi="Bookman Old Style" w:cs="Arial"/>
          <w:szCs w:val="24"/>
        </w:rPr>
        <w:t>de la Lista IV</w:t>
      </w:r>
      <w:r w:rsidRPr="00510F82">
        <w:rPr>
          <w:rStyle w:val="Refdenotaalpie"/>
          <w:rFonts w:ascii="Bookman Old Style" w:eastAsia="Calibri" w:hAnsi="Bookman Old Style" w:cs="Arial"/>
          <w:szCs w:val="24"/>
        </w:rPr>
        <w:footnoteReference w:id="3"/>
      </w:r>
      <w:r w:rsidRPr="00510F82">
        <w:rPr>
          <w:rStyle w:val="Refdenotaalpie"/>
          <w:rFonts w:ascii="Bookman Old Style" w:eastAsia="Calibri" w:hAnsi="Bookman Old Style" w:cs="Arial"/>
          <w:szCs w:val="24"/>
        </w:rPr>
        <w:footnoteReference w:id="4"/>
      </w:r>
      <w:r w:rsidRPr="00510F82">
        <w:rPr>
          <w:rFonts w:ascii="Bookman Old Style" w:eastAsia="Calibri" w:hAnsi="Bookman Old Style" w:cs="Arial"/>
          <w:szCs w:val="24"/>
        </w:rPr>
        <w:t xml:space="preserve"> de la Convención Única de 1961 sobre Estupefacientes</w:t>
      </w:r>
      <w:r>
        <w:rPr>
          <w:rFonts w:ascii="Bookman Old Style" w:eastAsia="Calibri" w:hAnsi="Bookman Old Style" w:cs="Arial"/>
          <w:szCs w:val="24"/>
        </w:rPr>
        <w:t>, por solicitud de</w:t>
      </w:r>
      <w:r w:rsidRPr="00510F82">
        <w:rPr>
          <w:rFonts w:ascii="Bookman Old Style" w:eastAsia="Calibri" w:hAnsi="Bookman Old Style" w:cs="Arial"/>
          <w:szCs w:val="24"/>
        </w:rPr>
        <w:t xml:space="preserve"> la Organización Mundial de la Salud (OMS),</w:t>
      </w:r>
      <w:r>
        <w:rPr>
          <w:rFonts w:ascii="Bookman Old Style" w:eastAsia="Calibri" w:hAnsi="Bookman Old Style" w:cs="Arial"/>
          <w:szCs w:val="24"/>
        </w:rPr>
        <w:t xml:space="preserve"> requerimiento que fue acogido por l</w:t>
      </w:r>
      <w:r w:rsidRPr="000512D5">
        <w:rPr>
          <w:rFonts w:ascii="Bookman Old Style" w:eastAsia="Calibri" w:hAnsi="Bookman Old Style" w:cs="Arial"/>
          <w:szCs w:val="24"/>
        </w:rPr>
        <w:t xml:space="preserve">a mayoría de los 53 Estados de la Comisión de Estupefacientes -el órgano Ejecutivo de la ONU en políticas de drogas- </w:t>
      </w:r>
      <w:r>
        <w:rPr>
          <w:rFonts w:ascii="Bookman Old Style" w:eastAsia="Calibri" w:hAnsi="Bookman Old Style" w:cs="Arial"/>
          <w:szCs w:val="24"/>
        </w:rPr>
        <w:t xml:space="preserve">el cual </w:t>
      </w:r>
      <w:r w:rsidRPr="000512D5">
        <w:rPr>
          <w:rFonts w:ascii="Bookman Old Style" w:eastAsia="Calibri" w:hAnsi="Bookman Old Style" w:cs="Arial"/>
          <w:szCs w:val="24"/>
        </w:rPr>
        <w:t xml:space="preserve">decidió </w:t>
      </w:r>
      <w:r>
        <w:rPr>
          <w:rFonts w:ascii="Bookman Old Style" w:eastAsia="Calibri" w:hAnsi="Bookman Old Style" w:cs="Arial"/>
          <w:szCs w:val="24"/>
        </w:rPr>
        <w:t>el 02 de diciembre de 2020</w:t>
      </w:r>
      <w:r w:rsidRPr="000512D5">
        <w:rPr>
          <w:rFonts w:ascii="Bookman Old Style" w:eastAsia="Calibri" w:hAnsi="Bookman Old Style" w:cs="Arial"/>
          <w:szCs w:val="24"/>
        </w:rPr>
        <w:t>.</w:t>
      </w:r>
      <w:r>
        <w:rPr>
          <w:rStyle w:val="Refdenotaalpie"/>
          <w:rFonts w:ascii="Bookman Old Style" w:eastAsia="Calibri" w:hAnsi="Bookman Old Style" w:cs="Arial"/>
          <w:szCs w:val="24"/>
        </w:rPr>
        <w:footnoteReference w:id="5"/>
      </w:r>
    </w:p>
    <w:p w:rsidR="00076757" w:rsidRPr="00485CC5" w:rsidRDefault="00076757" w:rsidP="00076757">
      <w:pPr>
        <w:jc w:val="both"/>
        <w:rPr>
          <w:rFonts w:ascii="Bookman Old Style" w:eastAsia="Calibri" w:hAnsi="Bookman Old Style" w:cs="Calibri"/>
          <w:szCs w:val="24"/>
        </w:rPr>
      </w:pPr>
    </w:p>
    <w:p w:rsidR="00076757" w:rsidRPr="00485CC5" w:rsidRDefault="00076757" w:rsidP="00076757">
      <w:pPr>
        <w:jc w:val="both"/>
        <w:rPr>
          <w:rFonts w:ascii="Bookman Old Style" w:eastAsia="Calibri" w:hAnsi="Bookman Old Style" w:cs="Calibri"/>
          <w:szCs w:val="24"/>
        </w:rPr>
      </w:pPr>
      <w:r>
        <w:rPr>
          <w:rFonts w:ascii="Bookman Old Style" w:eastAsia="Calibri" w:hAnsi="Bookman Old Style" w:cs="Calibri"/>
          <w:szCs w:val="24"/>
        </w:rPr>
        <w:t>El Acto Legislativo 02 de 2009 fue regulado por l</w:t>
      </w:r>
      <w:r w:rsidRPr="00485CC5">
        <w:rPr>
          <w:rFonts w:ascii="Bookman Old Style" w:eastAsia="Calibri" w:hAnsi="Bookman Old Style" w:cs="Calibri"/>
          <w:szCs w:val="24"/>
        </w:rPr>
        <w:t>a Ley 1787 de 2016</w:t>
      </w:r>
      <w:r>
        <w:rPr>
          <w:rFonts w:ascii="Bookman Old Style" w:eastAsia="Calibri" w:hAnsi="Bookman Old Style" w:cs="Calibri"/>
          <w:szCs w:val="24"/>
        </w:rPr>
        <w:t>, norma que</w:t>
      </w:r>
      <w:r w:rsidRPr="00485CC5">
        <w:rPr>
          <w:rFonts w:ascii="Bookman Old Style" w:eastAsia="Calibri" w:hAnsi="Bookman Old Style" w:cs="Calibri"/>
          <w:szCs w:val="24"/>
        </w:rPr>
        <w:t xml:space="preserve"> </w:t>
      </w:r>
      <w:r>
        <w:rPr>
          <w:rFonts w:ascii="Bookman Old Style" w:eastAsia="Calibri" w:hAnsi="Bookman Old Style" w:cs="Calibri"/>
          <w:szCs w:val="24"/>
        </w:rPr>
        <w:t>fijó las condiciones de</w:t>
      </w:r>
      <w:r w:rsidRPr="00485CC5">
        <w:rPr>
          <w:rFonts w:ascii="Bookman Old Style" w:eastAsia="Calibri" w:hAnsi="Bookman Old Style" w:cs="Calibri"/>
          <w:szCs w:val="24"/>
        </w:rPr>
        <w:t xml:space="preserve"> importación, exportación, cultivo, producción, fabricación, adquisición a cualquier título, almacenamiento, transporte, comercialización, distribución, uso de las semillas de la planta de cannabis, del cannabis y de sus derivados </w:t>
      </w:r>
      <w:r w:rsidRPr="00485CC5">
        <w:rPr>
          <w:rFonts w:ascii="Bookman Old Style" w:eastAsia="Calibri" w:hAnsi="Bookman Old Style" w:cs="Calibri"/>
          <w:szCs w:val="24"/>
          <w:u w:val="single"/>
        </w:rPr>
        <w:t>siempre y cuando su finalidad sea médica o científica</w:t>
      </w:r>
      <w:r w:rsidRPr="00485CC5">
        <w:rPr>
          <w:rFonts w:ascii="Bookman Old Style" w:eastAsia="Calibri" w:hAnsi="Bookman Old Style" w:cs="Calibri"/>
          <w:szCs w:val="24"/>
        </w:rPr>
        <w:t xml:space="preserve">. </w:t>
      </w:r>
      <w:r>
        <w:rPr>
          <w:rFonts w:ascii="Bookman Old Style" w:eastAsia="Calibri" w:hAnsi="Bookman Old Style" w:cs="Calibri"/>
          <w:szCs w:val="24"/>
        </w:rPr>
        <w:t xml:space="preserve">Cabe recordar que según el acto legislativo estas sustancias únicamente podían utilizarse con fines médicos, mientras que la regulación les abrió las puertas a otros usos, existiendo </w:t>
      </w:r>
      <w:r w:rsidRPr="00485CC5">
        <w:rPr>
          <w:rFonts w:ascii="Bookman Old Style" w:eastAsia="Calibri" w:hAnsi="Bookman Old Style" w:cs="Calibri"/>
          <w:szCs w:val="24"/>
        </w:rPr>
        <w:t>hoy en día una incoherencia entre la disposición constitucional y el desarrollo legal sobre la materia.</w:t>
      </w:r>
    </w:p>
    <w:p w:rsidR="00076757" w:rsidRPr="00485CC5" w:rsidRDefault="00076757" w:rsidP="00076757">
      <w:pPr>
        <w:jc w:val="both"/>
        <w:rPr>
          <w:rFonts w:ascii="Bookman Old Style" w:eastAsia="Calibri" w:hAnsi="Bookman Old Style" w:cs="Calibri"/>
          <w:szCs w:val="24"/>
        </w:rPr>
      </w:pPr>
    </w:p>
    <w:p w:rsidR="00076757" w:rsidRDefault="00076757" w:rsidP="00076757">
      <w:pPr>
        <w:jc w:val="both"/>
        <w:rPr>
          <w:rFonts w:ascii="Bookman Old Style" w:eastAsia="Calibri" w:hAnsi="Bookman Old Style" w:cs="Calibri"/>
          <w:szCs w:val="24"/>
        </w:rPr>
      </w:pPr>
      <w:r w:rsidRPr="00485CC5">
        <w:rPr>
          <w:rFonts w:ascii="Bookman Old Style" w:eastAsia="Calibri" w:hAnsi="Bookman Old Style" w:cs="Calibri"/>
          <w:szCs w:val="24"/>
        </w:rPr>
        <w:t>Adicional a lo anterior, el artículo 49 en su redacción es, a todas luces, contrario a lo dispuesto en las garantías constitucionales que dan contenido a los derechos fundamentales al libre desarrollo de la personalidad, la igualdad y la salud pública. Lo anterior, en tanto limita sin fundamento constitucional alguno el ejercicio de una actividad que repercute de forma exclusiva en la órbita del individuo.</w:t>
      </w:r>
    </w:p>
    <w:p w:rsidR="00076757" w:rsidRDefault="00076757" w:rsidP="00076757">
      <w:pPr>
        <w:jc w:val="both"/>
        <w:rPr>
          <w:rFonts w:ascii="Bookman Old Style" w:eastAsia="Calibri" w:hAnsi="Bookman Old Style" w:cs="Calibri"/>
          <w:szCs w:val="24"/>
        </w:rPr>
      </w:pPr>
    </w:p>
    <w:p w:rsidR="00076757" w:rsidRDefault="00076757" w:rsidP="00076757">
      <w:pPr>
        <w:jc w:val="both"/>
        <w:rPr>
          <w:rFonts w:ascii="Bookman Old Style" w:eastAsia="Calibri" w:hAnsi="Bookman Old Style" w:cs="Calibri"/>
          <w:szCs w:val="24"/>
        </w:rPr>
      </w:pPr>
      <w:r>
        <w:rPr>
          <w:rFonts w:ascii="Bookman Old Style" w:eastAsia="Calibri" w:hAnsi="Bookman Old Style" w:cs="Calibri"/>
          <w:szCs w:val="24"/>
        </w:rPr>
        <w:t>De hecho, a pesar de la inclusión de este artículo en la Constitución, la jurisprudencia constitucional, ordinaria y administrativa han reconocido que el derecho al porte de la dosis mínima se mantiene incólume, en tanto se trata de un asunto que no le compete regular al Estado.</w:t>
      </w:r>
    </w:p>
    <w:p w:rsidR="00076757" w:rsidRDefault="00076757" w:rsidP="00076757">
      <w:pPr>
        <w:jc w:val="both"/>
        <w:rPr>
          <w:rFonts w:ascii="Bookman Old Style" w:eastAsia="Calibri" w:hAnsi="Bookman Old Style" w:cs="Calibri"/>
          <w:szCs w:val="24"/>
        </w:rPr>
      </w:pPr>
    </w:p>
    <w:p w:rsidR="00076757" w:rsidRDefault="00076757" w:rsidP="00076757">
      <w:pPr>
        <w:jc w:val="both"/>
        <w:rPr>
          <w:rFonts w:ascii="Bookman Old Style" w:eastAsia="Calibri" w:hAnsi="Bookman Old Style" w:cs="Calibri"/>
          <w:szCs w:val="24"/>
        </w:rPr>
      </w:pPr>
      <w:r>
        <w:rPr>
          <w:rFonts w:ascii="Bookman Old Style" w:eastAsia="Calibri" w:hAnsi="Bookman Old Style" w:cs="Calibri"/>
          <w:szCs w:val="24"/>
        </w:rPr>
        <w:t xml:space="preserve">Cabe resaltar que el Acto Legislativo 02 de 2009 se aprobó en un contexto de país distinto, en el que aún sea creía que la lucha contra las drogas debía partir de estrategias prohibicionistas y en el que este tipo de limitaciones se implementaban </w:t>
      </w:r>
      <w:r>
        <w:rPr>
          <w:rFonts w:ascii="Bookman Old Style" w:eastAsia="Calibri" w:hAnsi="Bookman Old Style" w:cs="Calibri"/>
          <w:szCs w:val="24"/>
        </w:rPr>
        <w:lastRenderedPageBreak/>
        <w:t>como herramientas para luchar contra el conflicto armado en el que estaba sumergido el país.</w:t>
      </w:r>
    </w:p>
    <w:p w:rsidR="00076757" w:rsidRDefault="00076757" w:rsidP="00076757">
      <w:pPr>
        <w:jc w:val="both"/>
        <w:rPr>
          <w:rFonts w:ascii="Bookman Old Style" w:eastAsia="Calibri" w:hAnsi="Bookman Old Style" w:cs="Calibri"/>
          <w:szCs w:val="24"/>
        </w:rPr>
      </w:pPr>
    </w:p>
    <w:p w:rsidR="00076757" w:rsidRPr="00485CC5" w:rsidRDefault="00076757" w:rsidP="00076757">
      <w:pPr>
        <w:jc w:val="both"/>
        <w:rPr>
          <w:rFonts w:ascii="Bookman Old Style" w:eastAsia="Calibri" w:hAnsi="Bookman Old Style" w:cs="Calibri"/>
          <w:szCs w:val="24"/>
        </w:rPr>
      </w:pPr>
      <w:r>
        <w:rPr>
          <w:rFonts w:ascii="Bookman Old Style" w:eastAsia="Calibri" w:hAnsi="Bookman Old Style" w:cs="Calibri"/>
          <w:szCs w:val="24"/>
        </w:rPr>
        <w:t>Hoy, 13 años después, está claro que la prohibición de las drogas no solo ha alimentado el conflicto, sino que además ha cobrado millones de vidas en Colombia y el mundo. También, se ha consolidado una fuerte defensa a las libertades individuales y se ha tendido a limitar la intervención del Estado en estos asuntos.</w:t>
      </w:r>
    </w:p>
    <w:p w:rsidR="00076757" w:rsidRPr="00485CC5" w:rsidRDefault="00076757" w:rsidP="00076757">
      <w:pPr>
        <w:jc w:val="both"/>
        <w:rPr>
          <w:rFonts w:ascii="Bookman Old Style" w:eastAsia="Calibri" w:hAnsi="Bookman Old Style" w:cs="Calibri"/>
          <w:szCs w:val="24"/>
        </w:rPr>
      </w:pPr>
    </w:p>
    <w:p w:rsidR="00076757" w:rsidRPr="00485CC5" w:rsidRDefault="00076757" w:rsidP="00076757">
      <w:pPr>
        <w:jc w:val="both"/>
        <w:rPr>
          <w:rFonts w:ascii="Bookman Old Style" w:eastAsia="Calibri" w:hAnsi="Bookman Old Style" w:cs="Calibri"/>
          <w:szCs w:val="24"/>
        </w:rPr>
      </w:pPr>
      <w:r w:rsidRPr="00485CC5">
        <w:rPr>
          <w:rFonts w:ascii="Bookman Old Style" w:eastAsia="Calibri" w:hAnsi="Bookman Old Style" w:cs="Calibri"/>
          <w:szCs w:val="24"/>
        </w:rPr>
        <w:t>En consecuencia, es claro que una reforma constitucional que</w:t>
      </w:r>
      <w:r>
        <w:rPr>
          <w:rFonts w:ascii="Bookman Old Style" w:eastAsia="Calibri" w:hAnsi="Bookman Old Style" w:cs="Calibri"/>
          <w:szCs w:val="24"/>
        </w:rPr>
        <w:t xml:space="preserve"> permita</w:t>
      </w:r>
      <w:r w:rsidRPr="00485CC5">
        <w:rPr>
          <w:rFonts w:ascii="Bookman Old Style" w:eastAsia="Calibri" w:hAnsi="Bookman Old Style" w:cs="Calibri"/>
          <w:szCs w:val="24"/>
        </w:rPr>
        <w:t xml:space="preserve"> </w:t>
      </w:r>
      <w:r>
        <w:rPr>
          <w:rFonts w:ascii="Bookman Old Style" w:eastAsia="Calibri" w:hAnsi="Bookman Old Style" w:cs="Calibri"/>
          <w:szCs w:val="24"/>
        </w:rPr>
        <w:t>los</w:t>
      </w:r>
      <w:r w:rsidRPr="00485CC5">
        <w:rPr>
          <w:rFonts w:ascii="Bookman Old Style" w:eastAsia="Calibri" w:hAnsi="Bookman Old Style" w:cs="Calibri"/>
          <w:szCs w:val="24"/>
        </w:rPr>
        <w:t xml:space="preserve"> uso</w:t>
      </w:r>
      <w:r>
        <w:rPr>
          <w:rFonts w:ascii="Bookman Old Style" w:eastAsia="Calibri" w:hAnsi="Bookman Old Style" w:cs="Calibri"/>
          <w:szCs w:val="24"/>
        </w:rPr>
        <w:t>s</w:t>
      </w:r>
      <w:r w:rsidRPr="00485CC5">
        <w:rPr>
          <w:rFonts w:ascii="Bookman Old Style" w:eastAsia="Calibri" w:hAnsi="Bookman Old Style" w:cs="Calibri"/>
          <w:szCs w:val="24"/>
        </w:rPr>
        <w:t xml:space="preserve"> medicinal,</w:t>
      </w:r>
      <w:r>
        <w:rPr>
          <w:rFonts w:ascii="Bookman Old Style" w:eastAsia="Calibri" w:hAnsi="Bookman Old Style" w:cs="Calibri"/>
          <w:szCs w:val="24"/>
        </w:rPr>
        <w:t xml:space="preserve"> </w:t>
      </w:r>
      <w:r w:rsidRPr="00485CC5">
        <w:rPr>
          <w:rFonts w:ascii="Bookman Old Style" w:eastAsia="Calibri" w:hAnsi="Bookman Old Style" w:cs="Calibri"/>
          <w:szCs w:val="24"/>
        </w:rPr>
        <w:t xml:space="preserve">científico y </w:t>
      </w:r>
      <w:r>
        <w:rPr>
          <w:rFonts w:ascii="Bookman Old Style" w:eastAsia="Calibri" w:hAnsi="Bookman Old Style" w:cs="Calibri"/>
          <w:szCs w:val="24"/>
        </w:rPr>
        <w:t>adulto</w:t>
      </w:r>
      <w:r w:rsidRPr="00485CC5">
        <w:rPr>
          <w:rFonts w:ascii="Bookman Old Style" w:eastAsia="Calibri" w:hAnsi="Bookman Old Style" w:cs="Calibri"/>
          <w:szCs w:val="24"/>
        </w:rPr>
        <w:t xml:space="preserve"> del cannabis y sus derivados</w:t>
      </w:r>
      <w:r>
        <w:rPr>
          <w:rFonts w:ascii="Bookman Old Style" w:eastAsia="Calibri" w:hAnsi="Bookman Old Style" w:cs="Calibri"/>
          <w:szCs w:val="24"/>
        </w:rPr>
        <w:t>, no solo es pertinente, sino además es necesaria para subsanar las contradicciones e incoherencias que hoy en día persisten en nuestro ordenamiento jurídico. Aunado, es necesario que Colombia se sume a</w:t>
      </w:r>
      <w:r w:rsidRPr="00485CC5">
        <w:rPr>
          <w:rFonts w:ascii="Bookman Old Style" w:eastAsia="Calibri" w:hAnsi="Bookman Old Style" w:cs="Calibri"/>
          <w:szCs w:val="24"/>
        </w:rPr>
        <w:t xml:space="preserve"> las actuales posturas globales </w:t>
      </w:r>
      <w:r>
        <w:rPr>
          <w:rFonts w:ascii="Bookman Old Style" w:eastAsia="Calibri" w:hAnsi="Bookman Old Style" w:cs="Calibri"/>
          <w:szCs w:val="24"/>
        </w:rPr>
        <w:t xml:space="preserve">que han encontrado en la </w:t>
      </w:r>
      <w:r w:rsidRPr="00485CC5">
        <w:rPr>
          <w:rFonts w:ascii="Bookman Old Style" w:eastAsia="Calibri" w:hAnsi="Bookman Old Style" w:cs="Calibri"/>
          <w:szCs w:val="24"/>
        </w:rPr>
        <w:t>despenalización y regularización del porte y consumo</w:t>
      </w:r>
      <w:r>
        <w:rPr>
          <w:rFonts w:ascii="Bookman Old Style" w:eastAsia="Calibri" w:hAnsi="Bookman Old Style" w:cs="Calibri"/>
          <w:szCs w:val="24"/>
        </w:rPr>
        <w:t xml:space="preserve">, estrategias mucho más efectivas para afrontar la hasta ahora fallida lucha contra las drogas. </w:t>
      </w:r>
    </w:p>
    <w:p w:rsidR="007E2A01" w:rsidRPr="00485CC5" w:rsidRDefault="007E2A01" w:rsidP="007E2A01">
      <w:pPr>
        <w:rPr>
          <w:rFonts w:ascii="Bookman Old Style" w:hAnsi="Bookman Old Style" w:cs="Calibri"/>
          <w:szCs w:val="24"/>
        </w:rPr>
      </w:pPr>
    </w:p>
    <w:p w:rsidR="007E2A01" w:rsidRPr="00485CC5" w:rsidRDefault="007E2A01" w:rsidP="007E2A01">
      <w:pPr>
        <w:pStyle w:val="Prrafodelista"/>
        <w:numPr>
          <w:ilvl w:val="0"/>
          <w:numId w:val="35"/>
        </w:numPr>
        <w:spacing w:after="0" w:line="240" w:lineRule="auto"/>
        <w:jc w:val="center"/>
        <w:rPr>
          <w:rFonts w:ascii="Bookman Old Style" w:eastAsia="Calibri" w:hAnsi="Bookman Old Style" w:cs="Calibri"/>
          <w:b/>
          <w:szCs w:val="24"/>
        </w:rPr>
      </w:pPr>
      <w:r w:rsidRPr="00485CC5">
        <w:rPr>
          <w:rFonts w:ascii="Bookman Old Style" w:eastAsia="Calibri" w:hAnsi="Bookman Old Style" w:cs="Calibri"/>
          <w:b/>
          <w:szCs w:val="24"/>
        </w:rPr>
        <w:t>ANTECEDENTES</w:t>
      </w:r>
      <w:r>
        <w:rPr>
          <w:rFonts w:ascii="Bookman Old Style" w:eastAsia="Calibri" w:hAnsi="Bookman Old Style" w:cs="Calibri"/>
          <w:b/>
          <w:szCs w:val="24"/>
        </w:rPr>
        <w:t>.</w:t>
      </w:r>
    </w:p>
    <w:p w:rsidR="007E2A01" w:rsidRPr="00485CC5" w:rsidRDefault="007E2A01" w:rsidP="007E2A01">
      <w:pPr>
        <w:pStyle w:val="Prrafodelista"/>
        <w:spacing w:after="0" w:line="240" w:lineRule="auto"/>
        <w:ind w:left="360"/>
        <w:rPr>
          <w:rFonts w:ascii="Bookman Old Style" w:eastAsia="Calibri" w:hAnsi="Bookman Old Style" w:cs="Calibri"/>
          <w:b/>
          <w:szCs w:val="24"/>
        </w:rPr>
      </w:pPr>
    </w:p>
    <w:p w:rsidR="007E2A01" w:rsidRPr="00485CC5" w:rsidRDefault="007E2A01" w:rsidP="007E2A01">
      <w:pPr>
        <w:pStyle w:val="Ttulo2"/>
        <w:ind w:left="0"/>
        <w:jc w:val="both"/>
        <w:rPr>
          <w:rFonts w:ascii="Bookman Old Style" w:eastAsia="Calibri" w:hAnsi="Bookman Old Style" w:cs="Calibri"/>
          <w:sz w:val="22"/>
          <w:szCs w:val="24"/>
        </w:rPr>
      </w:pPr>
      <w:r>
        <w:rPr>
          <w:rFonts w:ascii="Bookman Old Style" w:eastAsia="Calibri" w:hAnsi="Bookman Old Style" w:cs="Calibri"/>
          <w:sz w:val="22"/>
          <w:szCs w:val="24"/>
        </w:rPr>
        <w:t>5</w:t>
      </w:r>
      <w:r w:rsidRPr="00485CC5">
        <w:rPr>
          <w:rFonts w:ascii="Bookman Old Style" w:eastAsia="Calibri" w:hAnsi="Bookman Old Style" w:cs="Calibri"/>
          <w:sz w:val="22"/>
          <w:szCs w:val="24"/>
        </w:rPr>
        <w:t>.1 ANTECEDENTES JURÍDICOS Y NORMATIVOS SOBRE LA MATERIA EN COLOMBIA</w:t>
      </w:r>
      <w:r>
        <w:rPr>
          <w:rFonts w:ascii="Bookman Old Style" w:eastAsia="Calibri" w:hAnsi="Bookman Old Style" w:cs="Calibri"/>
          <w:sz w:val="22"/>
          <w:szCs w:val="24"/>
        </w:rPr>
        <w:t>.</w:t>
      </w:r>
    </w:p>
    <w:p w:rsidR="007E2A01" w:rsidRPr="00485CC5" w:rsidRDefault="007E2A01" w:rsidP="007E2A01">
      <w:pPr>
        <w:pStyle w:val="Ttulo2"/>
        <w:ind w:left="0"/>
        <w:jc w:val="both"/>
        <w:rPr>
          <w:rFonts w:ascii="Bookman Old Style" w:eastAsia="Calibri" w:hAnsi="Bookman Old Style"/>
          <w:b w:val="0"/>
          <w:sz w:val="22"/>
          <w:szCs w:val="24"/>
        </w:rPr>
      </w:pPr>
    </w:p>
    <w:p w:rsidR="007E2A01" w:rsidRPr="00485CC5" w:rsidRDefault="007E2A01" w:rsidP="007E2A01">
      <w:pPr>
        <w:pStyle w:val="Ttulo2"/>
        <w:ind w:left="0"/>
        <w:jc w:val="both"/>
        <w:rPr>
          <w:rFonts w:ascii="Bookman Old Style" w:eastAsia="Calibri" w:hAnsi="Bookman Old Style" w:cs="Calibri"/>
          <w:b w:val="0"/>
          <w:sz w:val="22"/>
          <w:szCs w:val="24"/>
        </w:rPr>
      </w:pPr>
      <w:r w:rsidRPr="00485CC5">
        <w:rPr>
          <w:rFonts w:ascii="Bookman Old Style" w:eastAsia="Calibri" w:hAnsi="Bookman Old Style" w:cs="Calibri"/>
          <w:b w:val="0"/>
          <w:sz w:val="22"/>
          <w:szCs w:val="24"/>
        </w:rPr>
        <w:t>Colombia inició el camino de la regulación del consumo de estupefacientes hace más de 30 años, cuando se expidió la Ley 30 de 1986, “</w:t>
      </w:r>
      <w:r w:rsidRPr="00485CC5">
        <w:rPr>
          <w:rFonts w:ascii="Bookman Old Style" w:eastAsia="Calibri" w:hAnsi="Bookman Old Style" w:cs="Calibri"/>
          <w:b w:val="0"/>
          <w:i/>
          <w:sz w:val="22"/>
          <w:szCs w:val="24"/>
        </w:rPr>
        <w:t>Por la cual se adopta el Estatuto Nacional de Estupefacientes y se dictan otras disposiciones</w:t>
      </w:r>
      <w:r w:rsidRPr="00485CC5">
        <w:rPr>
          <w:rFonts w:ascii="Bookman Old Style" w:eastAsia="Calibri" w:hAnsi="Bookman Old Style" w:cs="Calibri"/>
          <w:b w:val="0"/>
          <w:sz w:val="22"/>
          <w:szCs w:val="24"/>
        </w:rPr>
        <w:t xml:space="preserve">.” Dicha norma, entre otras cosas, en el literal J del Artículo 2, definió las dosis para uso personal de sustancias estupefacientes, así: </w:t>
      </w:r>
    </w:p>
    <w:p w:rsidR="007E2A01" w:rsidRPr="00485CC5" w:rsidRDefault="007E2A01" w:rsidP="007E2A01">
      <w:pPr>
        <w:rPr>
          <w:rFonts w:ascii="Bookman Old Style" w:eastAsia="Calibri" w:hAnsi="Bookman Old Style"/>
          <w:szCs w:val="24"/>
        </w:rPr>
      </w:pPr>
    </w:p>
    <w:p w:rsidR="007E2A01" w:rsidRPr="00485CC5" w:rsidRDefault="007E2A01" w:rsidP="007E2A01">
      <w:pPr>
        <w:ind w:left="720" w:right="900"/>
        <w:jc w:val="both"/>
        <w:rPr>
          <w:rFonts w:ascii="Bookman Old Style" w:eastAsia="Calibri" w:hAnsi="Bookman Old Style" w:cs="Calibri"/>
          <w:i/>
          <w:sz w:val="20"/>
          <w:lang w:val="es-ES_tradnl"/>
        </w:rPr>
      </w:pPr>
      <w:r w:rsidRPr="00485CC5">
        <w:rPr>
          <w:rFonts w:ascii="Bookman Old Style" w:hAnsi="Bookman Old Style"/>
          <w:i/>
          <w:sz w:val="20"/>
        </w:rPr>
        <w:t>“</w:t>
      </w:r>
      <w:r w:rsidRPr="00485CC5">
        <w:rPr>
          <w:rFonts w:ascii="Bookman Old Style" w:eastAsia="Calibri" w:hAnsi="Bookman Old Style" w:cs="Calibri"/>
          <w:i/>
          <w:sz w:val="20"/>
          <w:lang w:val="es-ES_tradnl"/>
        </w:rPr>
        <w:t>ARTICULO</w:t>
      </w:r>
      <w:r w:rsidRPr="00485CC5">
        <w:rPr>
          <w:rFonts w:ascii="Bookman Old Style" w:hAnsi="Bookman Old Style"/>
          <w:i/>
          <w:sz w:val="20"/>
        </w:rPr>
        <w:t xml:space="preserve"> </w:t>
      </w:r>
      <w:r w:rsidRPr="00485CC5">
        <w:rPr>
          <w:rFonts w:ascii="Bookman Old Style" w:eastAsia="Calibri" w:hAnsi="Bookman Old Style" w:cs="Calibri"/>
          <w:i/>
          <w:sz w:val="20"/>
          <w:lang w:val="es-ES_tradnl"/>
        </w:rPr>
        <w:t>2o. (Definiciones). Para efectos de la presente Ley se adoptarán las siguientes definiciones:</w:t>
      </w:r>
    </w:p>
    <w:p w:rsidR="007E2A01" w:rsidRPr="00485CC5" w:rsidRDefault="007E2A01" w:rsidP="007E2A01">
      <w:pPr>
        <w:ind w:left="720" w:right="900"/>
        <w:jc w:val="both"/>
        <w:rPr>
          <w:rFonts w:ascii="Bookman Old Style" w:eastAsia="Calibri" w:hAnsi="Bookman Old Style" w:cs="Calibri"/>
          <w:i/>
          <w:sz w:val="20"/>
          <w:lang w:val="es-ES_tradnl"/>
        </w:rPr>
      </w:pPr>
      <w:r w:rsidRPr="00485CC5">
        <w:rPr>
          <w:rFonts w:ascii="Bookman Old Style" w:eastAsia="Calibri" w:hAnsi="Bookman Old Style" w:cs="Calibri"/>
          <w:i/>
          <w:sz w:val="20"/>
          <w:lang w:val="es-ES_tradnl"/>
        </w:rPr>
        <w:t>(…)</w:t>
      </w:r>
    </w:p>
    <w:p w:rsidR="007E2A01" w:rsidRPr="00485CC5" w:rsidRDefault="007E2A01" w:rsidP="007E2A01">
      <w:pPr>
        <w:ind w:left="720" w:right="900"/>
        <w:jc w:val="both"/>
        <w:rPr>
          <w:rFonts w:ascii="Bookman Old Style" w:hAnsi="Bookman Old Style"/>
          <w:i/>
          <w:sz w:val="20"/>
        </w:rPr>
      </w:pPr>
      <w:r w:rsidRPr="00485CC5">
        <w:rPr>
          <w:rFonts w:ascii="Bookman Old Style" w:eastAsia="Calibri" w:hAnsi="Bookman Old Style" w:cs="Calibri"/>
          <w:i/>
          <w:sz w:val="20"/>
          <w:lang w:val="es-ES_tradnl"/>
        </w:rPr>
        <w:t>j) Dosis para uso personal: Es la cantidad de estupefacientes que una persona porta o conserva para su propio consumo. Es dosis para uso personal la cantidad de marihuana que no exceda de veinte (20) gramos; la de marihuana hachís</w:t>
      </w:r>
      <w:r w:rsidRPr="00485CC5">
        <w:rPr>
          <w:rFonts w:ascii="Bookman Old Style" w:hAnsi="Bookman Old Style"/>
          <w:i/>
          <w:sz w:val="20"/>
        </w:rPr>
        <w:t xml:space="preserve"> que no exceda de cinco (5) gramos; de cocaína o de cualquier sustancia a base de cocaína la que no exceda de un (1) gramo, y de metacualona la que no exceda de dos (2) gramos. </w:t>
      </w:r>
    </w:p>
    <w:p w:rsidR="007E2A01" w:rsidRPr="00485CC5" w:rsidRDefault="007E2A01" w:rsidP="007E2A01">
      <w:pPr>
        <w:ind w:left="720" w:right="900"/>
        <w:jc w:val="both"/>
        <w:rPr>
          <w:rFonts w:ascii="Bookman Old Style" w:hAnsi="Bookman Old Style"/>
          <w:i/>
          <w:sz w:val="20"/>
        </w:rPr>
      </w:pPr>
    </w:p>
    <w:p w:rsidR="007E2A01" w:rsidRPr="00485CC5" w:rsidRDefault="007E2A01" w:rsidP="007E2A01">
      <w:pPr>
        <w:ind w:left="720" w:right="900"/>
        <w:jc w:val="both"/>
        <w:rPr>
          <w:rFonts w:ascii="Bookman Old Style" w:hAnsi="Bookman Old Style"/>
          <w:i/>
          <w:sz w:val="20"/>
        </w:rPr>
      </w:pPr>
      <w:r w:rsidRPr="00485CC5">
        <w:rPr>
          <w:rFonts w:ascii="Bookman Old Style" w:hAnsi="Bookman Old Style"/>
          <w:i/>
          <w:sz w:val="20"/>
        </w:rPr>
        <w:t>No es dosis para uso personal, el estupefaciente que la persona lleve consigo, cuando tenga como fin su distribución o venta, cualquiera que sea su cantidad.”</w:t>
      </w:r>
    </w:p>
    <w:p w:rsidR="007E2A01" w:rsidRPr="00485CC5" w:rsidRDefault="007E2A01" w:rsidP="007E2A01">
      <w:pPr>
        <w:rPr>
          <w:rFonts w:ascii="Bookman Old Style" w:eastAsia="Calibri" w:hAnsi="Bookman Old Style"/>
          <w:szCs w:val="24"/>
        </w:rPr>
      </w:pPr>
    </w:p>
    <w:p w:rsidR="007E2A01" w:rsidRPr="00485CC5" w:rsidRDefault="007E2A01" w:rsidP="007E2A01">
      <w:pPr>
        <w:pStyle w:val="Ttulo2"/>
        <w:ind w:left="0"/>
        <w:jc w:val="both"/>
        <w:rPr>
          <w:rFonts w:ascii="Bookman Old Style" w:eastAsia="Calibri" w:hAnsi="Bookman Old Style" w:cs="Calibri"/>
          <w:b w:val="0"/>
          <w:sz w:val="22"/>
          <w:szCs w:val="24"/>
        </w:rPr>
      </w:pPr>
      <w:r w:rsidRPr="00485CC5">
        <w:rPr>
          <w:rFonts w:ascii="Bookman Old Style" w:eastAsia="Calibri" w:hAnsi="Bookman Old Style" w:cs="Calibri"/>
          <w:b w:val="0"/>
          <w:sz w:val="22"/>
          <w:szCs w:val="24"/>
        </w:rPr>
        <w:t xml:space="preserve">Además, la Ley 30 de 1986, reglamentó en su Artículo 32 lo concerniente a la penalización del cultivo, conservación o financiación de plantaciones </w:t>
      </w:r>
      <w:r w:rsidRPr="00485CC5">
        <w:rPr>
          <w:rFonts w:ascii="Bookman Old Style" w:eastAsia="Calibri" w:hAnsi="Bookman Old Style" w:cs="Calibri"/>
          <w:b w:val="0"/>
          <w:i/>
          <w:sz w:val="22"/>
          <w:szCs w:val="24"/>
        </w:rPr>
        <w:t>(número superior a veinte (20) plantas)</w:t>
      </w:r>
      <w:r w:rsidRPr="00485CC5">
        <w:rPr>
          <w:rFonts w:ascii="Bookman Old Style" w:eastAsia="Calibri" w:hAnsi="Bookman Old Style" w:cs="Calibri"/>
          <w:b w:val="0"/>
          <w:sz w:val="22"/>
          <w:szCs w:val="24"/>
        </w:rPr>
        <w:t xml:space="preserve"> de marihuana o cualquier otra planta de las que pueda producirse cocaína, morfina, heroína o cualquier otra droga que produzca dependencia, permitiendo tácitamente los cultivos </w:t>
      </w:r>
      <w:r w:rsidRPr="00485CC5">
        <w:rPr>
          <w:rFonts w:ascii="Bookman Old Style" w:eastAsia="Calibri" w:hAnsi="Bookman Old Style" w:cs="Calibri"/>
          <w:b w:val="0"/>
          <w:i/>
          <w:sz w:val="22"/>
          <w:szCs w:val="24"/>
        </w:rPr>
        <w:t>(número inferior a veinte (20) plantas)</w:t>
      </w:r>
      <w:r w:rsidRPr="00485CC5">
        <w:rPr>
          <w:rFonts w:ascii="Bookman Old Style" w:eastAsia="Calibri" w:hAnsi="Bookman Old Style" w:cs="Calibri"/>
          <w:b w:val="0"/>
          <w:sz w:val="22"/>
          <w:szCs w:val="24"/>
        </w:rPr>
        <w:t xml:space="preserve"> para uso personal. </w:t>
      </w:r>
    </w:p>
    <w:p w:rsidR="007E2A01" w:rsidRPr="00485CC5" w:rsidRDefault="007E2A01" w:rsidP="007E2A01">
      <w:pPr>
        <w:rPr>
          <w:rFonts w:ascii="Bookman Old Style" w:eastAsia="Calibri" w:hAnsi="Bookman Old Style"/>
          <w:szCs w:val="24"/>
        </w:rPr>
      </w:pPr>
    </w:p>
    <w:p w:rsidR="007E2A01" w:rsidRPr="00485CC5" w:rsidRDefault="007E2A01" w:rsidP="007E2A01">
      <w:pPr>
        <w:pStyle w:val="Ttulo2"/>
        <w:ind w:left="0"/>
        <w:jc w:val="both"/>
        <w:rPr>
          <w:rFonts w:ascii="Bookman Old Style" w:eastAsia="Calibri" w:hAnsi="Bookman Old Style" w:cs="Calibri"/>
          <w:b w:val="0"/>
          <w:sz w:val="22"/>
          <w:szCs w:val="24"/>
        </w:rPr>
      </w:pPr>
      <w:r w:rsidRPr="00485CC5">
        <w:rPr>
          <w:rFonts w:ascii="Bookman Old Style" w:eastAsia="Calibri" w:hAnsi="Bookman Old Style" w:cs="Calibri"/>
          <w:b w:val="0"/>
          <w:sz w:val="22"/>
          <w:szCs w:val="24"/>
        </w:rPr>
        <w:t xml:space="preserve">Posteriormente la Corte Constitucional mediante sentencia C-221 de 1994, con </w:t>
      </w:r>
      <w:r w:rsidRPr="00485CC5">
        <w:rPr>
          <w:rFonts w:ascii="Bookman Old Style" w:eastAsia="Calibri" w:hAnsi="Bookman Old Style" w:cs="Calibri"/>
          <w:b w:val="0"/>
          <w:sz w:val="22"/>
          <w:szCs w:val="24"/>
        </w:rPr>
        <w:lastRenderedPageBreak/>
        <w:t xml:space="preserve">ponencia del Magistrado Carlos Gaviria Díaz, despenalizó el porte y el consumo de la dosis personal de estupefacientes, al declarar contrario a la Constitución el Artículo 51 de la Ley 30 de 1986 </w:t>
      </w:r>
      <w:r w:rsidRPr="00485CC5">
        <w:rPr>
          <w:rFonts w:ascii="Bookman Old Style" w:eastAsia="Calibri" w:hAnsi="Bookman Old Style" w:cs="Calibri"/>
          <w:b w:val="0"/>
          <w:i/>
          <w:sz w:val="22"/>
          <w:szCs w:val="24"/>
        </w:rPr>
        <w:t>(Estatuto Nacional de Estupefacientes)</w:t>
      </w:r>
      <w:r w:rsidRPr="00485CC5">
        <w:rPr>
          <w:rFonts w:ascii="Bookman Old Style" w:eastAsia="Calibri" w:hAnsi="Bookman Old Style" w:cs="Calibri"/>
          <w:b w:val="0"/>
          <w:sz w:val="22"/>
          <w:szCs w:val="24"/>
        </w:rPr>
        <w:t>, que disponía penas privativas de la libertad para personas que fueran sorprendidas portando menos de veinte gramos de marihuana o uno de cocaína. El argumento esencial de la Corte fue que esas normas violaban la autonomía y el libre desarrollo de la personalidad, pues la conducta del consumidor no afecta, en sí misma, derechos de otras personas.</w:t>
      </w:r>
    </w:p>
    <w:p w:rsidR="007E2A01" w:rsidRPr="00485CC5" w:rsidRDefault="007E2A01" w:rsidP="007E2A01">
      <w:pPr>
        <w:pStyle w:val="Ttulo2"/>
        <w:ind w:left="0"/>
        <w:jc w:val="both"/>
        <w:rPr>
          <w:rFonts w:ascii="Bookman Old Style" w:eastAsia="Calibri" w:hAnsi="Bookman Old Style" w:cs="Calibri"/>
          <w:b w:val="0"/>
          <w:sz w:val="22"/>
          <w:szCs w:val="24"/>
        </w:rPr>
      </w:pPr>
    </w:p>
    <w:p w:rsidR="007E2A01" w:rsidRPr="00485CC5" w:rsidRDefault="007E2A01" w:rsidP="007E2A01">
      <w:pPr>
        <w:pStyle w:val="Ttulo2"/>
        <w:ind w:left="0"/>
        <w:jc w:val="both"/>
        <w:rPr>
          <w:rFonts w:ascii="Bookman Old Style" w:eastAsia="Calibri" w:hAnsi="Bookman Old Style" w:cs="Calibri"/>
          <w:b w:val="0"/>
          <w:sz w:val="22"/>
          <w:szCs w:val="24"/>
        </w:rPr>
      </w:pPr>
      <w:r w:rsidRPr="00485CC5">
        <w:rPr>
          <w:rFonts w:ascii="Bookman Old Style" w:eastAsia="Calibri" w:hAnsi="Bookman Old Style" w:cs="Calibri"/>
          <w:b w:val="0"/>
          <w:sz w:val="22"/>
          <w:szCs w:val="24"/>
        </w:rPr>
        <w:t>Mucho ha ocurrido desde entonces, siete periodos presidenciales, cambios regulatorios y legislativos que han hecho que la política de drogas se haya ido alejando del camino que reconocía los derechos de los consumidores como un espacio y manifestación de las libertades individuales dentro de un Estado democrático.</w:t>
      </w:r>
    </w:p>
    <w:p w:rsidR="007E2A01" w:rsidRPr="00485CC5" w:rsidRDefault="007E2A01" w:rsidP="007E2A01">
      <w:pPr>
        <w:rPr>
          <w:rFonts w:ascii="Bookman Old Style" w:eastAsia="Calibri" w:hAnsi="Bookman Old Style"/>
          <w:szCs w:val="24"/>
        </w:rPr>
      </w:pPr>
    </w:p>
    <w:p w:rsidR="007E2A01" w:rsidRPr="00485CC5" w:rsidRDefault="007E2A01" w:rsidP="007E2A01">
      <w:pPr>
        <w:pStyle w:val="Ttulo2"/>
        <w:ind w:left="0"/>
        <w:jc w:val="both"/>
        <w:rPr>
          <w:rFonts w:ascii="Bookman Old Style" w:eastAsia="Calibri" w:hAnsi="Bookman Old Style" w:cs="Calibri"/>
          <w:b w:val="0"/>
          <w:sz w:val="22"/>
          <w:szCs w:val="24"/>
        </w:rPr>
      </w:pPr>
      <w:r w:rsidRPr="00485CC5">
        <w:rPr>
          <w:rFonts w:ascii="Bookman Old Style" w:eastAsia="Calibri" w:hAnsi="Bookman Old Style" w:cs="Calibri"/>
          <w:b w:val="0"/>
          <w:sz w:val="22"/>
          <w:szCs w:val="24"/>
        </w:rPr>
        <w:t xml:space="preserve">En el año 2009 se realizaron en el país varios esfuerzos por penalizar el consumo </w:t>
      </w:r>
      <w:r>
        <w:rPr>
          <w:rFonts w:ascii="Bookman Old Style" w:eastAsia="Calibri" w:hAnsi="Bookman Old Style" w:cs="Calibri"/>
          <w:b w:val="0"/>
          <w:sz w:val="22"/>
          <w:szCs w:val="24"/>
        </w:rPr>
        <w:t>adulto</w:t>
      </w:r>
      <w:r w:rsidRPr="00485CC5">
        <w:rPr>
          <w:rFonts w:ascii="Bookman Old Style" w:eastAsia="Calibri" w:hAnsi="Bookman Old Style" w:cs="Calibri"/>
          <w:b w:val="0"/>
          <w:sz w:val="22"/>
          <w:szCs w:val="24"/>
        </w:rPr>
        <w:t xml:space="preserve">, los cuales culminaron en la expedición del Acto Legislativo 02, a través del cual se reformó el artículo 49 superior, elevando a rango constitucional la prohibición de porte y consumo de sustancias estupefacientes o psicotrópicas, salvo en los casos de prescripción médica. </w:t>
      </w:r>
    </w:p>
    <w:p w:rsidR="007E2A01" w:rsidRPr="00485CC5" w:rsidRDefault="007E2A01" w:rsidP="007E2A01">
      <w:pPr>
        <w:pStyle w:val="Ttulo2"/>
        <w:ind w:left="0"/>
        <w:jc w:val="both"/>
        <w:rPr>
          <w:rFonts w:ascii="Bookman Old Style" w:eastAsia="Calibri" w:hAnsi="Bookman Old Style" w:cs="Calibri"/>
          <w:b w:val="0"/>
          <w:sz w:val="22"/>
          <w:szCs w:val="24"/>
        </w:rPr>
      </w:pPr>
    </w:p>
    <w:p w:rsidR="007E2A01" w:rsidRPr="00485CC5" w:rsidRDefault="007E2A01" w:rsidP="007E2A01">
      <w:pPr>
        <w:pStyle w:val="Ttulo2"/>
        <w:ind w:left="0"/>
        <w:jc w:val="both"/>
        <w:rPr>
          <w:rFonts w:ascii="Bookman Old Style" w:eastAsia="Calibri" w:hAnsi="Bookman Old Style" w:cs="Calibri"/>
          <w:b w:val="0"/>
          <w:sz w:val="22"/>
          <w:szCs w:val="24"/>
        </w:rPr>
      </w:pPr>
      <w:r w:rsidRPr="00485CC5">
        <w:rPr>
          <w:rFonts w:ascii="Bookman Old Style" w:eastAsia="Calibri" w:hAnsi="Bookman Old Style" w:cs="Calibri"/>
          <w:b w:val="0"/>
          <w:sz w:val="22"/>
          <w:szCs w:val="24"/>
        </w:rPr>
        <w:t>Este cambio constitucional, que contrariaba los pronunciamientos jurisprudenciales sobre la materia, propició una ambigüedad jurídica que derivó en la restricción del derecho fundamental al libre desarrollo de la personalidad de los consumidores de sustancias psicotrópicas o estupefacientes.</w:t>
      </w:r>
    </w:p>
    <w:p w:rsidR="007E2A01" w:rsidRPr="00485CC5" w:rsidRDefault="007E2A01" w:rsidP="007E2A01">
      <w:pPr>
        <w:pStyle w:val="Ttulo2"/>
        <w:ind w:left="0"/>
        <w:jc w:val="both"/>
        <w:rPr>
          <w:rFonts w:ascii="Bookman Old Style" w:eastAsia="Calibri" w:hAnsi="Bookman Old Style" w:cs="Calibri"/>
          <w:b w:val="0"/>
          <w:sz w:val="22"/>
          <w:szCs w:val="24"/>
        </w:rPr>
      </w:pPr>
    </w:p>
    <w:p w:rsidR="007E2A01" w:rsidRPr="00485CC5" w:rsidRDefault="007E2A01" w:rsidP="007E2A01">
      <w:pPr>
        <w:pStyle w:val="Ttulo2"/>
        <w:ind w:left="0"/>
        <w:jc w:val="both"/>
        <w:rPr>
          <w:rFonts w:ascii="Bookman Old Style" w:eastAsia="Calibri" w:hAnsi="Bookman Old Style" w:cs="Calibri"/>
          <w:b w:val="0"/>
          <w:i/>
          <w:sz w:val="22"/>
          <w:szCs w:val="24"/>
        </w:rPr>
      </w:pPr>
      <w:r w:rsidRPr="00485CC5">
        <w:rPr>
          <w:rFonts w:ascii="Bookman Old Style" w:eastAsia="Calibri" w:hAnsi="Bookman Old Style" w:cs="Calibri"/>
          <w:b w:val="0"/>
          <w:sz w:val="22"/>
          <w:szCs w:val="24"/>
        </w:rPr>
        <w:t xml:space="preserve">En el año 2011, la reforma constitucional fue demandada por sustitución de la Constitución. No obstante, la Corte Constitucional en sentencia C-574 de 2011, se declaró inhibida por ineptitud de la demanda presentada, omitiendo un pronunciamiento de fondo sobre los cargos. </w:t>
      </w:r>
    </w:p>
    <w:p w:rsidR="007E2A01" w:rsidRPr="00485CC5" w:rsidRDefault="007E2A01" w:rsidP="007E2A01">
      <w:pPr>
        <w:rPr>
          <w:rFonts w:ascii="Bookman Old Style" w:eastAsia="Calibri" w:hAnsi="Bookman Old Style"/>
          <w:b/>
          <w:szCs w:val="24"/>
        </w:rPr>
      </w:pPr>
    </w:p>
    <w:p w:rsidR="007E2A01" w:rsidRPr="00485CC5" w:rsidRDefault="007E2A01" w:rsidP="007E2A01">
      <w:pPr>
        <w:pStyle w:val="Ttulo2"/>
        <w:ind w:left="0"/>
        <w:jc w:val="both"/>
        <w:rPr>
          <w:rFonts w:ascii="Bookman Old Style" w:eastAsia="Calibri" w:hAnsi="Bookman Old Style" w:cs="Calibri"/>
          <w:b w:val="0"/>
          <w:sz w:val="22"/>
          <w:szCs w:val="24"/>
        </w:rPr>
      </w:pPr>
      <w:r w:rsidRPr="00485CC5">
        <w:rPr>
          <w:rFonts w:ascii="Bookman Old Style" w:eastAsia="Calibri" w:hAnsi="Bookman Old Style" w:cs="Calibri"/>
          <w:b w:val="0"/>
          <w:sz w:val="22"/>
          <w:szCs w:val="24"/>
        </w:rPr>
        <w:t>En aras de desarrollar la prohibición constitucional, en el año 2016 se discutió y aprobó la Ley 1787,</w:t>
      </w:r>
      <w:r w:rsidRPr="00485CC5">
        <w:rPr>
          <w:rFonts w:ascii="Bookman Old Style" w:eastAsia="Calibri" w:hAnsi="Bookman Old Style" w:cs="Calibri"/>
          <w:b w:val="0"/>
          <w:bCs/>
          <w:i/>
          <w:iCs/>
          <w:sz w:val="22"/>
          <w:szCs w:val="24"/>
        </w:rPr>
        <w:t xml:space="preserve"> “Por medio de la cual se reglamenta el Acto Legislativo 02 de 2009.”</w:t>
      </w:r>
      <w:r w:rsidRPr="00485CC5">
        <w:rPr>
          <w:rFonts w:ascii="Bookman Old Style" w:eastAsia="Calibri" w:hAnsi="Bookman Old Style" w:cs="Calibri"/>
          <w:b w:val="0"/>
          <w:sz w:val="22"/>
          <w:szCs w:val="24"/>
        </w:rPr>
        <w:t xml:space="preserve">, </w:t>
      </w:r>
      <w:r w:rsidRPr="00485CC5">
        <w:rPr>
          <w:rFonts w:ascii="Bookman Old Style" w:eastAsia="Calibri" w:hAnsi="Bookman Old Style" w:cs="Calibri"/>
          <w:b w:val="0"/>
          <w:i/>
          <w:sz w:val="22"/>
          <w:szCs w:val="24"/>
        </w:rPr>
        <w:t>(desarrollada mediante el Decreto 0613 de 2017)</w:t>
      </w:r>
      <w:r w:rsidRPr="00485CC5">
        <w:rPr>
          <w:rFonts w:ascii="Bookman Old Style" w:eastAsia="Calibri" w:hAnsi="Bookman Old Style" w:cs="Calibri"/>
          <w:b w:val="0"/>
          <w:sz w:val="22"/>
          <w:szCs w:val="24"/>
        </w:rPr>
        <w:t xml:space="preserve">. Esta norma reguló la producción, expedición de licencias y despenalización del porte y consumo de sustancias psicotrópicas y estupefacientes de conformidad con la referencia constitucional sobre la materia. No obstante, en su objeto, delimitado en el artículo 1, la norma dispuso que se pretendía regular </w:t>
      </w:r>
      <w:r w:rsidRPr="00485CC5">
        <w:rPr>
          <w:rFonts w:ascii="Bookman Old Style" w:eastAsia="Calibri" w:hAnsi="Bookman Old Style" w:cs="Calibri"/>
          <w:b w:val="0"/>
          <w:i/>
          <w:sz w:val="22"/>
          <w:szCs w:val="24"/>
        </w:rPr>
        <w:t>“el acceso seguro e informado al uso médico y científico del cannabis y sus derivados”</w:t>
      </w:r>
      <w:r w:rsidRPr="00485CC5">
        <w:rPr>
          <w:rFonts w:ascii="Bookman Old Style" w:eastAsia="Calibri" w:hAnsi="Bookman Old Style" w:cs="Calibri"/>
          <w:b w:val="0"/>
          <w:sz w:val="22"/>
          <w:szCs w:val="24"/>
        </w:rPr>
        <w:t>, referencia que de entrada muestra una adición a lo previsto en el artículo 29 constitucional: el uso científico.</w:t>
      </w:r>
    </w:p>
    <w:p w:rsidR="007E2A01" w:rsidRPr="00485CC5" w:rsidRDefault="007E2A01" w:rsidP="007E2A01">
      <w:pPr>
        <w:pStyle w:val="Ttulo2"/>
        <w:jc w:val="both"/>
        <w:rPr>
          <w:rFonts w:ascii="Bookman Old Style" w:eastAsia="Calibri" w:hAnsi="Bookman Old Style" w:cs="Calibri"/>
          <w:b w:val="0"/>
          <w:sz w:val="22"/>
          <w:szCs w:val="24"/>
        </w:rPr>
      </w:pPr>
    </w:p>
    <w:p w:rsidR="007E2A01" w:rsidRPr="00485CC5" w:rsidRDefault="007E2A01" w:rsidP="007E2A01">
      <w:pPr>
        <w:pStyle w:val="Ttulo2"/>
        <w:ind w:left="0"/>
        <w:jc w:val="both"/>
        <w:rPr>
          <w:rFonts w:ascii="Bookman Old Style" w:eastAsia="Calibri" w:hAnsi="Bookman Old Style" w:cs="Calibri"/>
          <w:b w:val="0"/>
          <w:sz w:val="22"/>
          <w:szCs w:val="24"/>
        </w:rPr>
      </w:pPr>
      <w:r>
        <w:rPr>
          <w:rFonts w:ascii="Bookman Old Style" w:eastAsia="Calibri" w:hAnsi="Bookman Old Style" w:cs="Calibri"/>
          <w:b w:val="0"/>
          <w:sz w:val="22"/>
          <w:szCs w:val="24"/>
        </w:rPr>
        <w:t>Al revisar</w:t>
      </w:r>
      <w:r w:rsidRPr="00485CC5">
        <w:rPr>
          <w:rFonts w:ascii="Bookman Old Style" w:eastAsia="Calibri" w:hAnsi="Bookman Old Style" w:cs="Calibri"/>
          <w:b w:val="0"/>
          <w:sz w:val="22"/>
          <w:szCs w:val="24"/>
        </w:rPr>
        <w:t xml:space="preserve"> el resto d</w:t>
      </w:r>
      <w:r>
        <w:rPr>
          <w:rFonts w:ascii="Bookman Old Style" w:eastAsia="Calibri" w:hAnsi="Bookman Old Style" w:cs="Calibri"/>
          <w:b w:val="0"/>
          <w:sz w:val="22"/>
          <w:szCs w:val="24"/>
        </w:rPr>
        <w:t>e la norma se evidencia</w:t>
      </w:r>
      <w:r w:rsidRPr="00485CC5">
        <w:rPr>
          <w:rFonts w:ascii="Bookman Old Style" w:eastAsia="Calibri" w:hAnsi="Bookman Old Style" w:cs="Calibri"/>
          <w:b w:val="0"/>
          <w:sz w:val="22"/>
          <w:szCs w:val="24"/>
        </w:rPr>
        <w:t xml:space="preserve"> que se hace referencia a usos medicinales</w:t>
      </w:r>
      <w:r>
        <w:rPr>
          <w:rFonts w:ascii="Bookman Old Style" w:eastAsia="Calibri" w:hAnsi="Bookman Old Style" w:cs="Calibri"/>
          <w:b w:val="0"/>
          <w:sz w:val="22"/>
          <w:szCs w:val="24"/>
        </w:rPr>
        <w:t xml:space="preserve"> y científicos</w:t>
      </w:r>
      <w:r w:rsidRPr="00485CC5">
        <w:rPr>
          <w:rFonts w:ascii="Bookman Old Style" w:eastAsia="Calibri" w:hAnsi="Bookman Old Style" w:cs="Calibri"/>
          <w:b w:val="0"/>
          <w:sz w:val="22"/>
          <w:szCs w:val="24"/>
        </w:rPr>
        <w:t xml:space="preserve"> del cannabis, previsi</w:t>
      </w:r>
      <w:r>
        <w:rPr>
          <w:rFonts w:ascii="Bookman Old Style" w:eastAsia="Calibri" w:hAnsi="Bookman Old Style" w:cs="Calibri"/>
          <w:b w:val="0"/>
          <w:sz w:val="22"/>
          <w:szCs w:val="24"/>
        </w:rPr>
        <w:t>o</w:t>
      </w:r>
      <w:r w:rsidRPr="00485CC5">
        <w:rPr>
          <w:rFonts w:ascii="Bookman Old Style" w:eastAsia="Calibri" w:hAnsi="Bookman Old Style" w:cs="Calibri"/>
          <w:b w:val="0"/>
          <w:sz w:val="22"/>
          <w:szCs w:val="24"/>
        </w:rPr>
        <w:t>n</w:t>
      </w:r>
      <w:r>
        <w:rPr>
          <w:rFonts w:ascii="Bookman Old Style" w:eastAsia="Calibri" w:hAnsi="Bookman Old Style" w:cs="Calibri"/>
          <w:b w:val="0"/>
          <w:sz w:val="22"/>
          <w:szCs w:val="24"/>
        </w:rPr>
        <w:t>es</w:t>
      </w:r>
      <w:r w:rsidRPr="00485CC5">
        <w:rPr>
          <w:rFonts w:ascii="Bookman Old Style" w:eastAsia="Calibri" w:hAnsi="Bookman Old Style" w:cs="Calibri"/>
          <w:b w:val="0"/>
          <w:sz w:val="22"/>
          <w:szCs w:val="24"/>
        </w:rPr>
        <w:t xml:space="preserve"> que no necesariamente se enmarca en la referencia del artículo 49 de la Constitución que se refiere exclusivamente a la tenencia de una fórmula médica. </w:t>
      </w:r>
    </w:p>
    <w:p w:rsidR="007E2A01" w:rsidRPr="00485CC5" w:rsidRDefault="007E2A01" w:rsidP="007E2A01">
      <w:pPr>
        <w:pStyle w:val="Ttulo2"/>
        <w:jc w:val="both"/>
        <w:rPr>
          <w:rFonts w:ascii="Bookman Old Style" w:eastAsia="Calibri" w:hAnsi="Bookman Old Style" w:cs="Calibri"/>
          <w:b w:val="0"/>
          <w:sz w:val="22"/>
          <w:szCs w:val="24"/>
        </w:rPr>
      </w:pPr>
    </w:p>
    <w:p w:rsidR="007E2A01" w:rsidRPr="00485CC5" w:rsidRDefault="007E2A01" w:rsidP="007E2A01">
      <w:pPr>
        <w:pStyle w:val="Ttulo2"/>
        <w:ind w:left="0"/>
        <w:jc w:val="both"/>
        <w:rPr>
          <w:rFonts w:ascii="Bookman Old Style" w:eastAsia="Calibri" w:hAnsi="Bookman Old Style" w:cs="Calibri"/>
          <w:b w:val="0"/>
          <w:sz w:val="22"/>
          <w:szCs w:val="24"/>
        </w:rPr>
      </w:pPr>
      <w:r w:rsidRPr="00485CC5">
        <w:rPr>
          <w:rFonts w:ascii="Bookman Old Style" w:eastAsia="Calibri" w:hAnsi="Bookman Old Style" w:cs="Calibri"/>
          <w:b w:val="0"/>
          <w:sz w:val="22"/>
          <w:szCs w:val="24"/>
        </w:rPr>
        <w:t xml:space="preserve">De lo anterior se colige entonces que la Ley 1787 de 2016 introdujo dos excepciones adicionales al porte de cannabis, aumentando el margen de la prohibición </w:t>
      </w:r>
      <w:r w:rsidRPr="00485CC5">
        <w:rPr>
          <w:rFonts w:ascii="Bookman Old Style" w:eastAsia="Calibri" w:hAnsi="Bookman Old Style" w:cs="Calibri"/>
          <w:b w:val="0"/>
          <w:sz w:val="22"/>
          <w:szCs w:val="24"/>
        </w:rPr>
        <w:lastRenderedPageBreak/>
        <w:t>dispuesta por el Acto Legislativo 02 de 2009.</w:t>
      </w:r>
    </w:p>
    <w:p w:rsidR="007E2A01" w:rsidRPr="00485CC5" w:rsidRDefault="007E2A01" w:rsidP="007E2A01">
      <w:pPr>
        <w:pStyle w:val="Ttulo2"/>
        <w:jc w:val="both"/>
        <w:rPr>
          <w:rFonts w:ascii="Bookman Old Style" w:eastAsia="Calibri" w:hAnsi="Bookman Old Style" w:cs="Calibri"/>
          <w:b w:val="0"/>
          <w:sz w:val="22"/>
          <w:szCs w:val="24"/>
        </w:rPr>
      </w:pPr>
    </w:p>
    <w:p w:rsidR="007E2A01" w:rsidRPr="00485CC5" w:rsidRDefault="007E2A01" w:rsidP="007E2A01">
      <w:pPr>
        <w:pStyle w:val="Ttulo2"/>
        <w:ind w:left="0"/>
        <w:jc w:val="both"/>
        <w:rPr>
          <w:rFonts w:ascii="Bookman Old Style" w:eastAsia="Calibri" w:hAnsi="Bookman Old Style" w:cs="Calibri"/>
          <w:b w:val="0"/>
          <w:sz w:val="22"/>
          <w:szCs w:val="24"/>
        </w:rPr>
      </w:pPr>
      <w:r w:rsidRPr="00485CC5">
        <w:rPr>
          <w:rFonts w:ascii="Bookman Old Style" w:eastAsia="Calibri" w:hAnsi="Bookman Old Style" w:cs="Calibri"/>
          <w:b w:val="0"/>
          <w:sz w:val="22"/>
          <w:szCs w:val="24"/>
        </w:rPr>
        <w:t xml:space="preserve">En lo que respecta al uso </w:t>
      </w:r>
      <w:r>
        <w:rPr>
          <w:rFonts w:ascii="Bookman Old Style" w:eastAsia="Calibri" w:hAnsi="Bookman Old Style" w:cs="Calibri"/>
          <w:b w:val="0"/>
          <w:sz w:val="22"/>
          <w:szCs w:val="24"/>
        </w:rPr>
        <w:t>adulto</w:t>
      </w:r>
      <w:r w:rsidRPr="00485CC5">
        <w:rPr>
          <w:rFonts w:ascii="Bookman Old Style" w:eastAsia="Calibri" w:hAnsi="Bookman Old Style" w:cs="Calibri"/>
          <w:b w:val="0"/>
          <w:sz w:val="22"/>
          <w:szCs w:val="24"/>
        </w:rPr>
        <w:t xml:space="preserve">, la Ley 1801 de 2016 </w:t>
      </w:r>
      <w:r w:rsidRPr="00485CC5">
        <w:rPr>
          <w:rFonts w:ascii="Bookman Old Style" w:eastAsia="Calibri" w:hAnsi="Bookman Old Style" w:cs="Calibri"/>
          <w:b w:val="0"/>
          <w:i/>
          <w:sz w:val="22"/>
          <w:szCs w:val="24"/>
        </w:rPr>
        <w:t>“Por la cual se expide el Código Nacional de Policía y Convivencia”</w:t>
      </w:r>
      <w:r w:rsidRPr="00485CC5">
        <w:rPr>
          <w:rFonts w:ascii="Bookman Old Style" w:eastAsia="Calibri" w:hAnsi="Bookman Old Style" w:cs="Calibri"/>
          <w:b w:val="0"/>
          <w:sz w:val="22"/>
          <w:szCs w:val="24"/>
        </w:rPr>
        <w:t>, desarrolló dispuso en su artículo 33 la prohibición al consumo de drogas de uso ilícito, en aras de preservar la tranquilidad, y las relaciones respetuosas de las personas y la comunidad.</w:t>
      </w:r>
    </w:p>
    <w:p w:rsidR="007E2A01" w:rsidRPr="00485CC5" w:rsidRDefault="007E2A01" w:rsidP="007E2A01">
      <w:pPr>
        <w:rPr>
          <w:rFonts w:ascii="Bookman Old Style" w:eastAsia="Calibri" w:hAnsi="Bookman Old Style"/>
          <w:szCs w:val="24"/>
        </w:rPr>
      </w:pPr>
    </w:p>
    <w:p w:rsidR="007E2A01" w:rsidRPr="00485CC5" w:rsidRDefault="007E2A01" w:rsidP="007E2A01">
      <w:pPr>
        <w:jc w:val="both"/>
        <w:rPr>
          <w:rFonts w:ascii="Bookman Old Style" w:eastAsia="Calibri" w:hAnsi="Bookman Old Style" w:cs="Calibri"/>
          <w:szCs w:val="24"/>
        </w:rPr>
      </w:pPr>
      <w:r>
        <w:rPr>
          <w:rFonts w:ascii="Bookman Old Style" w:eastAsia="Calibri" w:hAnsi="Bookman Old Style" w:cs="Calibri"/>
          <w:szCs w:val="24"/>
        </w:rPr>
        <w:t>Esta norma</w:t>
      </w:r>
      <w:r w:rsidRPr="00485CC5">
        <w:rPr>
          <w:rFonts w:ascii="Bookman Old Style" w:eastAsia="Calibri" w:hAnsi="Bookman Old Style" w:cs="Calibri"/>
          <w:szCs w:val="24"/>
        </w:rPr>
        <w:t xml:space="preserve"> impleme</w:t>
      </w:r>
      <w:r>
        <w:rPr>
          <w:rFonts w:ascii="Bookman Old Style" w:eastAsia="Calibri" w:hAnsi="Bookman Old Style" w:cs="Calibri"/>
          <w:szCs w:val="24"/>
        </w:rPr>
        <w:t xml:space="preserve">ntó un proceso abreviado encaminado a </w:t>
      </w:r>
      <w:r w:rsidRPr="00485CC5">
        <w:rPr>
          <w:rFonts w:ascii="Bookman Old Style" w:eastAsia="Calibri" w:hAnsi="Bookman Old Style" w:cs="Calibri"/>
          <w:szCs w:val="24"/>
        </w:rPr>
        <w:t>sancionar a l</w:t>
      </w:r>
      <w:r>
        <w:rPr>
          <w:rFonts w:ascii="Bookman Old Style" w:eastAsia="Calibri" w:hAnsi="Bookman Old Style" w:cs="Calibri"/>
          <w:szCs w:val="24"/>
        </w:rPr>
        <w:t xml:space="preserve">as personas que consumieran dichas sustancias, en contravía de los derechos ya reconocidos por la jurisprudencia nacional. Proceso que además no otorgaba las garantías propias del debido proceso y que </w:t>
      </w:r>
      <w:r w:rsidRPr="00485CC5">
        <w:rPr>
          <w:rFonts w:ascii="Bookman Old Style" w:eastAsia="Calibri" w:hAnsi="Bookman Old Style" w:cs="Calibri"/>
          <w:szCs w:val="24"/>
        </w:rPr>
        <w:t>una serie de estigmatizaciones en contra de los consumidores.</w:t>
      </w:r>
    </w:p>
    <w:p w:rsidR="007E2A01" w:rsidRPr="00485CC5" w:rsidRDefault="007E2A01" w:rsidP="007E2A01">
      <w:pPr>
        <w:rPr>
          <w:rFonts w:eastAsia="Calibri"/>
        </w:rPr>
      </w:pPr>
    </w:p>
    <w:p w:rsidR="007E2A01" w:rsidRPr="00485CC5" w:rsidRDefault="007E2A01" w:rsidP="007E2A01">
      <w:pPr>
        <w:pStyle w:val="Ttulo2"/>
        <w:ind w:left="0"/>
        <w:jc w:val="both"/>
        <w:rPr>
          <w:rFonts w:ascii="Bookman Old Style" w:eastAsia="Calibri" w:hAnsi="Bookman Old Style" w:cs="Calibri"/>
          <w:b w:val="0"/>
          <w:sz w:val="22"/>
          <w:szCs w:val="24"/>
        </w:rPr>
      </w:pPr>
      <w:r>
        <w:rPr>
          <w:rFonts w:ascii="Bookman Old Style" w:eastAsia="Calibri" w:hAnsi="Bookman Old Style" w:cs="Calibri"/>
          <w:b w:val="0"/>
          <w:sz w:val="22"/>
          <w:szCs w:val="24"/>
        </w:rPr>
        <w:t>Ante esta disposición, abiertamente inconstitucional, las Cortes mantuvieron la postura adoptada desde</w:t>
      </w:r>
      <w:r w:rsidRPr="00485CC5">
        <w:rPr>
          <w:rFonts w:ascii="Bookman Old Style" w:eastAsia="Calibri" w:hAnsi="Bookman Old Style" w:cs="Calibri"/>
          <w:b w:val="0"/>
          <w:sz w:val="22"/>
          <w:szCs w:val="24"/>
        </w:rPr>
        <w:t xml:space="preserve"> el año 1994, como se evidenció el 9 de marzo de 2016, cuando</w:t>
      </w:r>
      <w:r>
        <w:rPr>
          <w:rFonts w:ascii="Bookman Old Style" w:eastAsia="Calibri" w:hAnsi="Bookman Old Style" w:cs="Calibri"/>
          <w:b w:val="0"/>
          <w:sz w:val="22"/>
          <w:szCs w:val="24"/>
        </w:rPr>
        <w:t xml:space="preserve"> </w:t>
      </w:r>
      <w:r w:rsidRPr="00485CC5">
        <w:rPr>
          <w:rFonts w:ascii="Bookman Old Style" w:eastAsia="Calibri" w:hAnsi="Bookman Old Style" w:cs="Calibri"/>
          <w:b w:val="0"/>
          <w:sz w:val="22"/>
          <w:szCs w:val="24"/>
        </w:rPr>
        <w:t xml:space="preserve">la Corte Suprema de Justicia, mediante sentencia SP-2940-2016, reconoció que los consumidores, enfermos o adictos, podían portar una cantidad diferente a la fijada por la ley para la dosis personal (20 gramos), siempre que: 1) </w:t>
      </w:r>
      <w:r>
        <w:rPr>
          <w:rFonts w:ascii="Bookman Old Style" w:eastAsia="Calibri" w:hAnsi="Bookman Old Style" w:cs="Calibri"/>
          <w:b w:val="0"/>
          <w:sz w:val="22"/>
          <w:szCs w:val="24"/>
        </w:rPr>
        <w:t>e</w:t>
      </w:r>
      <w:r w:rsidRPr="00485CC5">
        <w:rPr>
          <w:rFonts w:ascii="Bookman Old Style" w:eastAsia="Calibri" w:hAnsi="Bookman Old Style" w:cs="Calibri"/>
          <w:b w:val="0"/>
          <w:sz w:val="22"/>
          <w:szCs w:val="24"/>
        </w:rPr>
        <w:t>st</w:t>
      </w:r>
      <w:r>
        <w:rPr>
          <w:rFonts w:ascii="Bookman Old Style" w:eastAsia="Calibri" w:hAnsi="Bookman Old Style" w:cs="Calibri"/>
          <w:b w:val="0"/>
          <w:sz w:val="22"/>
          <w:szCs w:val="24"/>
        </w:rPr>
        <w:t>a</w:t>
      </w:r>
      <w:r w:rsidRPr="00485CC5">
        <w:rPr>
          <w:rFonts w:ascii="Bookman Old Style" w:eastAsia="Calibri" w:hAnsi="Bookman Old Style" w:cs="Calibri"/>
          <w:b w:val="0"/>
          <w:sz w:val="22"/>
          <w:szCs w:val="24"/>
        </w:rPr>
        <w:t xml:space="preserve"> fuera para su consumo personal o aprovisionamiento y 2) no existieran indicios de tráfico de sustancias de uso ilícito. </w:t>
      </w:r>
    </w:p>
    <w:p w:rsidR="007E2A01" w:rsidRPr="00485CC5" w:rsidRDefault="007E2A01" w:rsidP="007E2A01">
      <w:pPr>
        <w:pStyle w:val="Ttulo2"/>
        <w:ind w:left="0"/>
        <w:jc w:val="both"/>
        <w:rPr>
          <w:rFonts w:ascii="Bookman Old Style" w:eastAsia="Calibri" w:hAnsi="Bookman Old Style" w:cs="Calibri"/>
          <w:b w:val="0"/>
          <w:sz w:val="22"/>
          <w:szCs w:val="24"/>
        </w:rPr>
      </w:pPr>
    </w:p>
    <w:p w:rsidR="007E2A01" w:rsidRDefault="007E2A01" w:rsidP="007E2A01">
      <w:pPr>
        <w:pStyle w:val="Ttulo2"/>
        <w:ind w:left="0"/>
        <w:jc w:val="both"/>
        <w:rPr>
          <w:rFonts w:ascii="Bookman Old Style" w:eastAsia="Calibri" w:hAnsi="Bookman Old Style" w:cs="Calibri"/>
          <w:b w:val="0"/>
          <w:sz w:val="22"/>
          <w:szCs w:val="24"/>
        </w:rPr>
      </w:pPr>
      <w:r>
        <w:rPr>
          <w:rFonts w:ascii="Bookman Old Style" w:eastAsia="Calibri" w:hAnsi="Bookman Old Style" w:cs="Calibri"/>
          <w:b w:val="0"/>
          <w:sz w:val="22"/>
          <w:szCs w:val="24"/>
        </w:rPr>
        <w:t xml:space="preserve">Sin embargo, el Gobierno intentó nuevamente limitar los derechos de los consumidores </w:t>
      </w:r>
      <w:r w:rsidRPr="00485CC5">
        <w:rPr>
          <w:rFonts w:ascii="Bookman Old Style" w:eastAsia="Calibri" w:hAnsi="Bookman Old Style" w:cs="Calibri"/>
          <w:b w:val="0"/>
          <w:sz w:val="22"/>
          <w:szCs w:val="24"/>
        </w:rPr>
        <w:t>y</w:t>
      </w:r>
      <w:r>
        <w:rPr>
          <w:rFonts w:ascii="Bookman Old Style" w:eastAsia="Calibri" w:hAnsi="Bookman Old Style" w:cs="Calibri"/>
          <w:b w:val="0"/>
          <w:sz w:val="22"/>
          <w:szCs w:val="24"/>
        </w:rPr>
        <w:t>,</w:t>
      </w:r>
      <w:r w:rsidRPr="00485CC5">
        <w:rPr>
          <w:rFonts w:ascii="Bookman Old Style" w:eastAsia="Calibri" w:hAnsi="Bookman Old Style" w:cs="Calibri"/>
          <w:b w:val="0"/>
          <w:sz w:val="22"/>
          <w:szCs w:val="24"/>
        </w:rPr>
        <w:t xml:space="preserve"> en desarrollo de la Ley 1801 de 2016, </w:t>
      </w:r>
      <w:r>
        <w:rPr>
          <w:rFonts w:ascii="Bookman Old Style" w:eastAsia="Calibri" w:hAnsi="Bookman Old Style" w:cs="Calibri"/>
          <w:b w:val="0"/>
          <w:sz w:val="22"/>
          <w:szCs w:val="24"/>
        </w:rPr>
        <w:t xml:space="preserve">expidió </w:t>
      </w:r>
      <w:r w:rsidRPr="00485CC5">
        <w:rPr>
          <w:rFonts w:ascii="Bookman Old Style" w:eastAsia="Calibri" w:hAnsi="Bookman Old Style" w:cs="Calibri"/>
          <w:b w:val="0"/>
          <w:sz w:val="22"/>
          <w:szCs w:val="24"/>
        </w:rPr>
        <w:t>el Decreto 1844</w:t>
      </w:r>
      <w:r>
        <w:rPr>
          <w:rFonts w:ascii="Bookman Old Style" w:eastAsia="Calibri" w:hAnsi="Bookman Old Style" w:cs="Calibri"/>
          <w:b w:val="0"/>
          <w:sz w:val="22"/>
          <w:szCs w:val="24"/>
        </w:rPr>
        <w:t xml:space="preserve"> de la misma anualidad, que</w:t>
      </w:r>
      <w:r w:rsidRPr="00485CC5">
        <w:rPr>
          <w:rFonts w:ascii="Bookman Old Style" w:eastAsia="Calibri" w:hAnsi="Bookman Old Style" w:cs="Calibri"/>
          <w:b w:val="0"/>
          <w:sz w:val="22"/>
          <w:szCs w:val="24"/>
        </w:rPr>
        <w:t xml:space="preserve"> prohibió el porte y consumo de la dosis mínima y facultó a la Policía Nacional para adelantar el decomiso de las sustancias estupefacientes, así como para</w:t>
      </w:r>
      <w:r>
        <w:rPr>
          <w:rFonts w:ascii="Bookman Old Style" w:eastAsia="Calibri" w:hAnsi="Bookman Old Style" w:cs="Calibri"/>
          <w:b w:val="0"/>
          <w:sz w:val="22"/>
          <w:szCs w:val="24"/>
        </w:rPr>
        <w:t xml:space="preserve"> la imposición de una sanción.</w:t>
      </w:r>
    </w:p>
    <w:p w:rsidR="007E2A01" w:rsidRPr="00C8439A" w:rsidRDefault="007E2A01" w:rsidP="007E2A01">
      <w:pPr>
        <w:rPr>
          <w:rFonts w:eastAsia="Calibri"/>
        </w:rPr>
      </w:pPr>
    </w:p>
    <w:p w:rsidR="007E2A01" w:rsidRPr="002C010E" w:rsidRDefault="007E2A01" w:rsidP="007E2A01">
      <w:pPr>
        <w:pStyle w:val="Ttulo2"/>
        <w:ind w:left="0"/>
        <w:jc w:val="both"/>
        <w:rPr>
          <w:rFonts w:ascii="Bookman Old Style" w:eastAsia="Calibri" w:hAnsi="Bookman Old Style" w:cs="Calibri"/>
          <w:b w:val="0"/>
          <w:sz w:val="22"/>
          <w:szCs w:val="22"/>
        </w:rPr>
      </w:pPr>
      <w:r w:rsidRPr="002C010E">
        <w:rPr>
          <w:rFonts w:ascii="Bookman Old Style" w:eastAsia="Calibri" w:hAnsi="Bookman Old Style" w:cs="Calibri"/>
          <w:b w:val="0"/>
          <w:sz w:val="22"/>
          <w:szCs w:val="22"/>
        </w:rPr>
        <w:t>No obstante, a través de sentencia C-253 de 2019, la Corte Constitucional dio fin a esta discusión declarando inexequible las expresiones ‘alcohólicas, psicoactivas o’ contenidas en los Artículos 33 (literal c, numeral 2) y 140 (numeral 7) del Código Nacional de Policía y Convivencia (Ley 1801 de 2016)</w:t>
      </w:r>
      <w:r w:rsidRPr="002C010E">
        <w:rPr>
          <w:rStyle w:val="Refdenotaalpie"/>
          <w:rFonts w:ascii="Bookman Old Style" w:eastAsia="Calibri" w:hAnsi="Bookman Old Style" w:cs="Calibri"/>
          <w:b w:val="0"/>
          <w:i/>
          <w:sz w:val="22"/>
          <w:szCs w:val="22"/>
        </w:rPr>
        <w:footnoteReference w:id="6"/>
      </w:r>
      <w:r w:rsidRPr="002C010E">
        <w:rPr>
          <w:rFonts w:ascii="Bookman Old Style" w:eastAsia="Calibri" w:hAnsi="Bookman Old Style" w:cs="Calibri"/>
          <w:b w:val="0"/>
          <w:i/>
          <w:sz w:val="22"/>
          <w:szCs w:val="22"/>
        </w:rPr>
        <w:t xml:space="preserve">. </w:t>
      </w:r>
      <w:r w:rsidRPr="002C010E">
        <w:rPr>
          <w:rFonts w:ascii="Bookman Old Style" w:eastAsia="Calibri" w:hAnsi="Bookman Old Style" w:cs="Calibri"/>
          <w:b w:val="0"/>
          <w:iCs/>
          <w:sz w:val="22"/>
          <w:szCs w:val="22"/>
        </w:rPr>
        <w:t>Toda vez que</w:t>
      </w:r>
      <w:r w:rsidRPr="002C010E">
        <w:rPr>
          <w:rFonts w:ascii="Bookman Old Style" w:eastAsia="Calibri" w:hAnsi="Bookman Old Style" w:cs="Calibri"/>
          <w:b w:val="0"/>
          <w:sz w:val="22"/>
          <w:szCs w:val="22"/>
        </w:rPr>
        <w:t xml:space="preserve"> </w:t>
      </w:r>
      <w:r w:rsidRPr="001D5D7C">
        <w:rPr>
          <w:rFonts w:ascii="Bookman Old Style" w:eastAsia="Calibri" w:hAnsi="Bookman Old Style" w:cs="Calibri"/>
          <w:b w:val="0"/>
          <w:sz w:val="22"/>
          <w:szCs w:val="22"/>
        </w:rPr>
        <w:t>el texto legal de las reglas acusadas tiene unas amplias prohibiciones que impactan el ejercicio del derecho al libre desarrollo de la personalidad de forma considerable</w:t>
      </w:r>
      <w:r w:rsidRPr="002C010E">
        <w:rPr>
          <w:rFonts w:ascii="Bookman Old Style" w:eastAsia="Calibri" w:hAnsi="Bookman Old Style" w:cs="Calibri"/>
          <w:b w:val="0"/>
          <w:sz w:val="22"/>
          <w:szCs w:val="22"/>
        </w:rPr>
        <w:t>, así lo afirmó la corte para cada uno de los artículos:</w:t>
      </w:r>
    </w:p>
    <w:p w:rsidR="007E2A01" w:rsidRPr="002C010E" w:rsidRDefault="007E2A01" w:rsidP="007E2A01">
      <w:pPr>
        <w:pStyle w:val="Ttulo2"/>
        <w:ind w:left="0"/>
        <w:jc w:val="both"/>
        <w:rPr>
          <w:rFonts w:ascii="Bookman Old Style" w:eastAsia="Calibri" w:hAnsi="Bookman Old Style" w:cs="Calibri"/>
          <w:b w:val="0"/>
          <w:sz w:val="22"/>
          <w:szCs w:val="22"/>
        </w:rPr>
      </w:pPr>
    </w:p>
    <w:p w:rsidR="007E2A01" w:rsidRPr="002C010E" w:rsidRDefault="007E2A01" w:rsidP="007E2A01">
      <w:pPr>
        <w:pStyle w:val="Prrafodelista"/>
        <w:numPr>
          <w:ilvl w:val="0"/>
          <w:numId w:val="44"/>
        </w:numPr>
        <w:jc w:val="both"/>
        <w:rPr>
          <w:rFonts w:ascii="Bookman Old Style" w:eastAsia="Calibri" w:hAnsi="Bookman Old Style"/>
        </w:rPr>
      </w:pPr>
      <w:r w:rsidRPr="001D5D7C">
        <w:rPr>
          <w:rFonts w:ascii="Bookman Old Style" w:eastAsia="Calibri" w:hAnsi="Bookman Old Style"/>
        </w:rPr>
        <w:t>Artículo 33. Comportamientos que afectan la tranquilidad y relaciones respetuosas de las personas.</w:t>
      </w:r>
    </w:p>
    <w:p w:rsidR="007E2A01" w:rsidRPr="001D5D7C" w:rsidRDefault="007E2A01" w:rsidP="007E2A01">
      <w:pPr>
        <w:pStyle w:val="Prrafodelista"/>
        <w:jc w:val="both"/>
        <w:rPr>
          <w:rFonts w:ascii="Bookman Old Style" w:eastAsia="Calibri" w:hAnsi="Bookman Old Style"/>
        </w:rPr>
      </w:pPr>
      <w:r w:rsidRPr="002C010E">
        <w:rPr>
          <w:rFonts w:ascii="Bookman Old Style" w:eastAsia="Calibri" w:hAnsi="Bookman Old Style"/>
        </w:rPr>
        <w:t>(…)</w:t>
      </w:r>
    </w:p>
    <w:p w:rsidR="007E2A01" w:rsidRPr="001D5D7C" w:rsidRDefault="007E2A01" w:rsidP="007E2A01">
      <w:pPr>
        <w:pStyle w:val="Prrafodelista"/>
        <w:jc w:val="both"/>
        <w:rPr>
          <w:rFonts w:ascii="Bookman Old Style" w:eastAsia="Calibri" w:hAnsi="Bookman Old Style"/>
        </w:rPr>
      </w:pPr>
      <w:r w:rsidRPr="001D5D7C">
        <w:rPr>
          <w:rFonts w:ascii="Bookman Old Style" w:hAnsi="Bookman Old Style" w:cs="Open Sans"/>
        </w:rPr>
        <w:t>c) &lt;Apartes tachados INEXEQUIBLES&gt; Consumir sustancias </w:t>
      </w:r>
      <w:r w:rsidRPr="001D5D7C">
        <w:rPr>
          <w:rStyle w:val="baj"/>
          <w:rFonts w:ascii="Bookman Old Style" w:hAnsi="Bookman Old Style" w:cs="Open Sans"/>
          <w:bCs/>
          <w:strike/>
        </w:rPr>
        <w:t>alcohólicas, psicoactivas o</w:t>
      </w:r>
      <w:r w:rsidRPr="001D5D7C">
        <w:rPr>
          <w:rFonts w:ascii="Bookman Old Style" w:hAnsi="Bookman Old Style" w:cs="Open Sans"/>
        </w:rPr>
        <w:t> prohibidas, no autorizados para su consumo.</w:t>
      </w:r>
    </w:p>
    <w:p w:rsidR="007E2A01" w:rsidRPr="001D5D7C" w:rsidRDefault="007E2A01" w:rsidP="007E2A01">
      <w:pPr>
        <w:jc w:val="both"/>
        <w:rPr>
          <w:rFonts w:ascii="Bookman Old Style" w:eastAsia="Calibri" w:hAnsi="Bookman Old Style"/>
        </w:rPr>
      </w:pPr>
    </w:p>
    <w:p w:rsidR="007E2A01" w:rsidRPr="001D5D7C" w:rsidRDefault="007E2A01" w:rsidP="007E2A01">
      <w:pPr>
        <w:ind w:left="851" w:right="616"/>
        <w:jc w:val="both"/>
        <w:rPr>
          <w:rFonts w:ascii="Bookman Old Style" w:eastAsia="Calibri" w:hAnsi="Bookman Old Style"/>
          <w:i/>
          <w:iCs/>
        </w:rPr>
      </w:pPr>
      <w:r w:rsidRPr="001D5D7C">
        <w:rPr>
          <w:rFonts w:ascii="Bookman Old Style" w:hAnsi="Bookman Old Style"/>
          <w:i/>
          <w:iCs/>
          <w:shd w:val="clear" w:color="auto" w:fill="FFFFFF"/>
        </w:rPr>
        <w:t xml:space="preserve">“Respecto del primer problema jurídico, el del artículo 33 (numeral 2, literal c), la Corte consideró que la prohibición amplia y genérica impuesta por el Código Nacional de Policía y Convivencia no es razonable constitucionalmente, pues a pesar de buscar un fin que es imperioso (la tranquilidad y las relaciones respetuosas) lo hace a </w:t>
      </w:r>
      <w:r w:rsidRPr="001D5D7C">
        <w:rPr>
          <w:rFonts w:ascii="Bookman Old Style" w:hAnsi="Bookman Old Style"/>
          <w:i/>
          <w:iCs/>
          <w:shd w:val="clear" w:color="auto" w:fill="FFFFFF"/>
        </w:rPr>
        <w:lastRenderedPageBreak/>
        <w:t>través de un medio que no es necesario para alcanzar dicho fin, y en ocasiones tampoco idóneo. La generalidad de la disposición, que invierte el principio de libertad, incluye en la prohibición casos para los que el medio no es idóneo, puesto que no hay siquiera riesgo de que se afecten los bienes protegidos. El medio no es necesario, en todo caso, por cuanto existen otros medios de policía en el mismo Código que permiten alcanzar los fines buscados sin imponer una amplia restricción a la libertad. La regla también es desproporcionada al dar amplísima protección a unos derechos e imponer cargas al libre desarrollo de la personalidad.”</w:t>
      </w:r>
      <w:r w:rsidRPr="001D5D7C">
        <w:rPr>
          <w:rStyle w:val="Refdenotaalpie"/>
          <w:rFonts w:ascii="Bookman Old Style" w:hAnsi="Bookman Old Style"/>
          <w:i/>
          <w:iCs/>
          <w:shd w:val="clear" w:color="auto" w:fill="FFFFFF"/>
        </w:rPr>
        <w:footnoteReference w:id="7"/>
      </w:r>
    </w:p>
    <w:p w:rsidR="007E2A01" w:rsidRPr="001D5D7C" w:rsidRDefault="007E2A01" w:rsidP="007E2A01">
      <w:pPr>
        <w:jc w:val="both"/>
        <w:rPr>
          <w:rFonts w:ascii="Bookman Old Style" w:eastAsia="Calibri" w:hAnsi="Bookman Old Style"/>
        </w:rPr>
      </w:pPr>
    </w:p>
    <w:p w:rsidR="007E2A01" w:rsidRDefault="007E2A01" w:rsidP="007E2A01">
      <w:pPr>
        <w:pStyle w:val="Prrafodelista"/>
        <w:numPr>
          <w:ilvl w:val="0"/>
          <w:numId w:val="44"/>
        </w:numPr>
        <w:jc w:val="both"/>
        <w:rPr>
          <w:rFonts w:ascii="Bookman Old Style" w:eastAsia="Calibri" w:hAnsi="Bookman Old Style"/>
        </w:rPr>
      </w:pPr>
      <w:r w:rsidRPr="002C010E">
        <w:rPr>
          <w:rFonts w:ascii="Bookman Old Style" w:eastAsia="Calibri" w:hAnsi="Bookman Old Style"/>
        </w:rPr>
        <w:t>Artículo 140. Comportamientos contrarios al cuidado e integridad del espacio público.</w:t>
      </w:r>
    </w:p>
    <w:p w:rsidR="007E2A01" w:rsidRPr="001D5D7C" w:rsidRDefault="007E2A01" w:rsidP="007E2A01">
      <w:pPr>
        <w:pStyle w:val="Prrafodelista"/>
        <w:jc w:val="both"/>
        <w:rPr>
          <w:rFonts w:ascii="Bookman Old Style" w:eastAsia="Calibri" w:hAnsi="Bookman Old Style"/>
        </w:rPr>
      </w:pPr>
      <w:r w:rsidRPr="001D5D7C">
        <w:rPr>
          <w:rFonts w:ascii="Bookman Old Style" w:hAnsi="Bookman Old Style" w:cs="Open Sans"/>
        </w:rPr>
        <w:t>7. &lt;Apartes tachados INEXEQUIBLES&gt; Consumir </w:t>
      </w:r>
      <w:r w:rsidRPr="001D5D7C">
        <w:rPr>
          <w:rStyle w:val="baj"/>
          <w:rFonts w:ascii="Bookman Old Style" w:hAnsi="Bookman Old Style" w:cs="Open Sans"/>
          <w:b/>
          <w:bCs/>
          <w:strike/>
        </w:rPr>
        <w:t>bebidas alcohólicas</w:t>
      </w:r>
      <w:r w:rsidRPr="001D5D7C">
        <w:rPr>
          <w:rFonts w:ascii="Bookman Old Style" w:hAnsi="Bookman Old Style" w:cs="Open Sans"/>
        </w:rPr>
        <w:t>, sustancias </w:t>
      </w:r>
      <w:r w:rsidRPr="001D5D7C">
        <w:rPr>
          <w:rStyle w:val="baj"/>
          <w:rFonts w:ascii="Bookman Old Style" w:hAnsi="Bookman Old Style" w:cs="Open Sans"/>
          <w:b/>
          <w:bCs/>
          <w:strike/>
        </w:rPr>
        <w:t>psicoactivas o</w:t>
      </w:r>
      <w:r w:rsidRPr="001D5D7C">
        <w:rPr>
          <w:rFonts w:ascii="Bookman Old Style" w:hAnsi="Bookman Old Style" w:cs="Open Sans"/>
        </w:rPr>
        <w:t> prohibidas en estadios, coliseos, centros deportivos, parques, hospitales, centros de salud y en general, en el espacio público, excepto en las actividades autorizadas por la autoridad competente.</w:t>
      </w:r>
    </w:p>
    <w:p w:rsidR="007E2A01" w:rsidRPr="001D5D7C" w:rsidRDefault="007E2A01" w:rsidP="007E2A01">
      <w:pPr>
        <w:jc w:val="both"/>
        <w:rPr>
          <w:rFonts w:ascii="Bookman Old Style" w:hAnsi="Bookman Old Style" w:cs="Open Sans"/>
        </w:rPr>
      </w:pPr>
    </w:p>
    <w:p w:rsidR="007E2A01" w:rsidRPr="001D5D7C" w:rsidRDefault="007E2A01" w:rsidP="007E2A01">
      <w:pPr>
        <w:ind w:left="851" w:right="616"/>
        <w:jc w:val="both"/>
        <w:rPr>
          <w:rFonts w:ascii="Bookman Old Style" w:eastAsia="Calibri" w:hAnsi="Bookman Old Style"/>
          <w:i/>
          <w:iCs/>
        </w:rPr>
      </w:pPr>
      <w:r w:rsidRPr="001D5D7C">
        <w:rPr>
          <w:rFonts w:ascii="Bookman Old Style" w:hAnsi="Bookman Old Style"/>
          <w:i/>
          <w:iCs/>
          <w:shd w:val="clear" w:color="auto" w:fill="FFFFFF"/>
        </w:rPr>
        <w:t>“Con respecto al segundo problema jurídico, referente al artículo 140 (numeral 7), la Corte consideró que la prohibición impuesta por el Código Nacional de Policía y Convivencia, objeto de la acción de inconstitucionalidad, tampoco es razonable constitucionalmente. Al igual que en el problema anterior, se advirtió que el fin que se busca con la norma es imperioso (el cuidado y la integridad del espacio público). Pero en este caso ni siquiera se muestra por qué se considera que el medio es adecuado para alcanzar el fin buscado. No se advierte, ni se dan elementos de juicio que permitan establecer una relación clara de causalidad entre el consumo de las bebidas y las sustancias psicoactivas, en general, y la destrucción o irrespeto a la integridad del espacio público. En cualquier caso, los eventos en los que el consumo de las sustancias referidas podría llevar a destruir o afectar el espacio público, debe ser objeto de prevención y corrección por parte de la Policía, usando otros medios que el propio Código de Policía contempla y faculta.”</w:t>
      </w:r>
      <w:r w:rsidRPr="001D5D7C">
        <w:rPr>
          <w:rStyle w:val="Refdenotaalpie"/>
          <w:rFonts w:ascii="Bookman Old Style" w:hAnsi="Bookman Old Style"/>
          <w:i/>
          <w:iCs/>
          <w:shd w:val="clear" w:color="auto" w:fill="FFFFFF"/>
        </w:rPr>
        <w:footnoteReference w:id="8"/>
      </w:r>
    </w:p>
    <w:p w:rsidR="007E2A01" w:rsidRPr="002C010E" w:rsidRDefault="007E2A01" w:rsidP="007E2A01">
      <w:pPr>
        <w:jc w:val="both"/>
        <w:rPr>
          <w:rFonts w:ascii="Bookman Old Style" w:eastAsia="Calibri" w:hAnsi="Bookman Old Style"/>
        </w:rPr>
      </w:pPr>
    </w:p>
    <w:p w:rsidR="007E2A01" w:rsidRPr="002C010E" w:rsidRDefault="007E2A01" w:rsidP="007E2A01">
      <w:pPr>
        <w:pStyle w:val="Ttulo2"/>
        <w:ind w:left="0"/>
        <w:jc w:val="both"/>
        <w:rPr>
          <w:rFonts w:ascii="Bookman Old Style" w:eastAsia="Calibri" w:hAnsi="Bookman Old Style" w:cs="Calibri"/>
          <w:b w:val="0"/>
          <w:sz w:val="22"/>
          <w:szCs w:val="22"/>
        </w:rPr>
      </w:pPr>
      <w:r w:rsidRPr="002C010E">
        <w:rPr>
          <w:rFonts w:ascii="Bookman Old Style" w:eastAsia="Calibri" w:hAnsi="Bookman Old Style" w:cs="Calibri"/>
          <w:b w:val="0"/>
          <w:sz w:val="22"/>
          <w:szCs w:val="22"/>
        </w:rPr>
        <w:t xml:space="preserve">Argumentos que se enmarcan en la ya enunciada línea jurisprudencial que identifica estos asuntos como propios de la órbita del individuo. </w:t>
      </w:r>
    </w:p>
    <w:p w:rsidR="007E2A01" w:rsidRDefault="007E2A01" w:rsidP="007E2A01">
      <w:pPr>
        <w:jc w:val="both"/>
        <w:rPr>
          <w:rFonts w:ascii="Bookman Old Style" w:eastAsia="Calibri" w:hAnsi="Bookman Old Style" w:cs="Calibri"/>
          <w:szCs w:val="24"/>
        </w:rPr>
      </w:pPr>
    </w:p>
    <w:p w:rsidR="007E2A01" w:rsidRDefault="007E2A01" w:rsidP="007E2A01">
      <w:pPr>
        <w:jc w:val="both"/>
        <w:rPr>
          <w:rFonts w:ascii="Bookman Old Style" w:eastAsia="Calibri" w:hAnsi="Bookman Old Style" w:cs="Calibri"/>
          <w:szCs w:val="24"/>
        </w:rPr>
      </w:pPr>
      <w:r>
        <w:rPr>
          <w:rFonts w:ascii="Bookman Old Style" w:eastAsia="Calibri" w:hAnsi="Bookman Old Style" w:cs="Calibri"/>
          <w:szCs w:val="24"/>
        </w:rPr>
        <w:t xml:space="preserve">El consejo de Estado a su vez, en sentencia del 30 de abril de 2020, dentro del proceso de nulidad del Decreto 1844 de 2018 </w:t>
      </w:r>
      <w:r w:rsidRPr="001D5D7C">
        <w:rPr>
          <w:rFonts w:ascii="Bookman Old Style" w:eastAsia="Calibri" w:hAnsi="Bookman Old Style" w:cs="Calibri"/>
          <w:i/>
          <w:iCs/>
          <w:szCs w:val="24"/>
        </w:rPr>
        <w:t>“Por medio del cual se adiciona el capítulo 9º del título 8º de la parte 2ª del libro 2º del Decreto 1070 de 2015 “Decreto Único Reglamentario del Sector Administrativo de Defensa”, para reglamentar parcialmente el Código Nacional de Policía y Convivencia, en lo referente a la prohibición de poseer, tener, entregar, distribuir o comercializar drogas o sustancias prohibidas</w:t>
      </w:r>
      <w:r w:rsidRPr="00497756">
        <w:rPr>
          <w:rFonts w:ascii="Bookman Old Style" w:eastAsia="Calibri" w:hAnsi="Bookman Old Style" w:cs="Calibri"/>
          <w:szCs w:val="24"/>
        </w:rPr>
        <w:t>”</w:t>
      </w:r>
      <w:r>
        <w:rPr>
          <w:rFonts w:ascii="Bookman Old Style" w:eastAsia="Calibri" w:hAnsi="Bookman Old Style" w:cs="Calibri"/>
          <w:szCs w:val="24"/>
        </w:rPr>
        <w:t>, determinó que el decreto es válido condicionado, en el entendido que:</w:t>
      </w:r>
    </w:p>
    <w:p w:rsidR="007E2A01" w:rsidRDefault="007E2A01" w:rsidP="007E2A01">
      <w:pPr>
        <w:jc w:val="both"/>
        <w:rPr>
          <w:rFonts w:ascii="Bookman Old Style" w:eastAsia="Calibri" w:hAnsi="Bookman Old Style" w:cs="Calibri"/>
          <w:szCs w:val="24"/>
        </w:rPr>
      </w:pPr>
    </w:p>
    <w:p w:rsidR="007E2A01" w:rsidRPr="001D5D7C" w:rsidRDefault="007E2A01" w:rsidP="007E2A01">
      <w:pPr>
        <w:widowControl/>
        <w:numPr>
          <w:ilvl w:val="0"/>
          <w:numId w:val="45"/>
        </w:numPr>
        <w:jc w:val="both"/>
        <w:rPr>
          <w:rFonts w:ascii="Bookman Old Style" w:hAnsi="Bookman Old Style" w:cs="Arial"/>
          <w:i/>
          <w:iCs/>
          <w:color w:val="000000"/>
        </w:rPr>
      </w:pPr>
      <w:r>
        <w:rPr>
          <w:rFonts w:ascii="Bookman Old Style" w:hAnsi="Bookman Old Style" w:cs="Arial"/>
          <w:i/>
          <w:iCs/>
          <w:color w:val="000000"/>
        </w:rPr>
        <w:t>“</w:t>
      </w:r>
      <w:r w:rsidRPr="001D5D7C">
        <w:rPr>
          <w:rFonts w:ascii="Bookman Old Style" w:hAnsi="Bookman Old Style" w:cs="Arial"/>
          <w:i/>
          <w:iCs/>
          <w:color w:val="000000"/>
        </w:rPr>
        <w:t>El acto demandado reglamenta el CNSCC respecto de los verbos de porte, tenencia y posesión de SPA, cuando esa conducta traspasa la esfera íntima del consumidor dado que se relaciona: </w:t>
      </w:r>
      <w:r w:rsidRPr="001D5D7C">
        <w:rPr>
          <w:rFonts w:ascii="Bookman Old Style" w:hAnsi="Bookman Old Style" w:cs="Arial"/>
          <w:b/>
          <w:bCs/>
          <w:i/>
          <w:iCs/>
          <w:color w:val="000000"/>
        </w:rPr>
        <w:t>i)</w:t>
      </w:r>
      <w:r w:rsidRPr="001D5D7C">
        <w:rPr>
          <w:rFonts w:ascii="Bookman Old Style" w:hAnsi="Bookman Old Style" w:cs="Arial"/>
          <w:i/>
          <w:iCs/>
          <w:color w:val="000000"/>
        </w:rPr>
        <w:t> con la comercialización y/o distribución de SPA, o </w:t>
      </w:r>
      <w:r w:rsidRPr="001D5D7C">
        <w:rPr>
          <w:rFonts w:ascii="Bookman Old Style" w:hAnsi="Bookman Old Style" w:cs="Arial"/>
          <w:b/>
          <w:bCs/>
          <w:i/>
          <w:iCs/>
          <w:color w:val="000000"/>
        </w:rPr>
        <w:t>ii)</w:t>
      </w:r>
      <w:r w:rsidRPr="001D5D7C">
        <w:rPr>
          <w:rFonts w:ascii="Bookman Old Style" w:hAnsi="Bookman Old Style" w:cs="Arial"/>
          <w:i/>
          <w:iCs/>
          <w:color w:val="000000"/>
        </w:rPr>
        <w:t> porque afecta los derechos de terceros y/o colectivos.</w:t>
      </w:r>
    </w:p>
    <w:p w:rsidR="007E2A01" w:rsidRDefault="007E2A01" w:rsidP="007E2A01">
      <w:pPr>
        <w:widowControl/>
        <w:ind w:left="720"/>
        <w:jc w:val="both"/>
        <w:rPr>
          <w:rFonts w:ascii="Bookman Old Style" w:hAnsi="Bookman Old Style" w:cs="Arial"/>
          <w:i/>
          <w:iCs/>
          <w:color w:val="000000"/>
        </w:rPr>
      </w:pPr>
    </w:p>
    <w:p w:rsidR="007E2A01" w:rsidRPr="001D5D7C" w:rsidRDefault="007E2A01" w:rsidP="007E2A01">
      <w:pPr>
        <w:widowControl/>
        <w:numPr>
          <w:ilvl w:val="0"/>
          <w:numId w:val="46"/>
        </w:numPr>
        <w:jc w:val="both"/>
        <w:rPr>
          <w:rFonts w:ascii="Bookman Old Style" w:hAnsi="Bookman Old Style" w:cs="Arial"/>
          <w:i/>
          <w:iCs/>
          <w:color w:val="000000"/>
        </w:rPr>
      </w:pPr>
      <w:r w:rsidRPr="001D5D7C">
        <w:rPr>
          <w:rFonts w:ascii="Bookman Old Style" w:hAnsi="Bookman Old Style" w:cs="Arial"/>
          <w:i/>
          <w:iCs/>
          <w:color w:val="000000"/>
        </w:rPr>
        <w:t>Los miembros de la Policía Nacional harán uso del proceso verbal inmediato al que hace referencia la norma acusada únicamente cuando se requiera verificar que la dosis personal está siendo utilizada para fines distintos al consumo de quien la tiene en su poder, ante la existencia de evidencias en torno a que se está atentando contra los derechos de terceros o de la colectividad.</w:t>
      </w:r>
    </w:p>
    <w:p w:rsidR="007E2A01" w:rsidRDefault="007E2A01" w:rsidP="007E2A01">
      <w:pPr>
        <w:widowControl/>
        <w:ind w:left="720"/>
        <w:jc w:val="both"/>
        <w:rPr>
          <w:rFonts w:ascii="Bookman Old Style" w:hAnsi="Bookman Old Style" w:cs="Arial"/>
          <w:i/>
          <w:iCs/>
          <w:color w:val="000000"/>
        </w:rPr>
      </w:pPr>
    </w:p>
    <w:p w:rsidR="007E2A01" w:rsidRPr="001D5D7C" w:rsidRDefault="007E2A01" w:rsidP="007E2A01">
      <w:pPr>
        <w:widowControl/>
        <w:numPr>
          <w:ilvl w:val="0"/>
          <w:numId w:val="47"/>
        </w:numPr>
        <w:jc w:val="both"/>
        <w:rPr>
          <w:rFonts w:ascii="Bookman Old Style" w:hAnsi="Bookman Old Style" w:cs="Arial"/>
          <w:i/>
          <w:iCs/>
          <w:color w:val="000000"/>
        </w:rPr>
      </w:pPr>
      <w:r w:rsidRPr="001D5D7C">
        <w:rPr>
          <w:rFonts w:ascii="Bookman Old Style" w:hAnsi="Bookman Old Style" w:cs="Arial"/>
          <w:i/>
          <w:iCs/>
          <w:color w:val="000000"/>
        </w:rPr>
        <w:t>Conforme con lo señalado por la Corte Constitucional en la sentencia C-253 de 2019, los comportamientos previstos por los artículos 33 (literal c, numeral 2º) y 140 (numeral 7º) de la ley 1801, únicamente podrán ser corregidos por la Policía Nacional cuando las autoridades competentes fijen, “dentro de los límites que impone el orden constitucional” y de manera “razonable y proporcionada”, las circunstancias de modo, tiempo y lugar, en virtud de las cuales el acto de consumo de estupefacientes afecta el orden público.</w:t>
      </w:r>
      <w:r>
        <w:rPr>
          <w:rFonts w:ascii="Bookman Old Style" w:hAnsi="Bookman Old Style" w:cs="Arial"/>
          <w:i/>
          <w:iCs/>
          <w:color w:val="000000"/>
        </w:rPr>
        <w:t>”</w:t>
      </w:r>
      <w:r>
        <w:rPr>
          <w:rStyle w:val="Refdenotaalpie"/>
          <w:rFonts w:ascii="Bookman Old Style" w:hAnsi="Bookman Old Style" w:cs="Arial"/>
          <w:i/>
          <w:iCs/>
          <w:color w:val="000000"/>
        </w:rPr>
        <w:footnoteReference w:id="9"/>
      </w:r>
    </w:p>
    <w:p w:rsidR="007E2A01" w:rsidRPr="00485CC5" w:rsidRDefault="007E2A01" w:rsidP="007E2A01">
      <w:pPr>
        <w:jc w:val="both"/>
        <w:rPr>
          <w:rFonts w:ascii="Bookman Old Style" w:eastAsia="Calibri" w:hAnsi="Bookman Old Style" w:cs="Calibri"/>
          <w:szCs w:val="24"/>
        </w:rPr>
      </w:pPr>
    </w:p>
    <w:p w:rsidR="007E2A01" w:rsidRDefault="007E2A01" w:rsidP="007E2A01">
      <w:pPr>
        <w:jc w:val="both"/>
        <w:rPr>
          <w:rFonts w:ascii="Bookman Old Style" w:eastAsia="Calibri" w:hAnsi="Bookman Old Style" w:cs="Calibri"/>
          <w:szCs w:val="24"/>
        </w:rPr>
      </w:pPr>
      <w:r w:rsidRPr="00485CC5">
        <w:rPr>
          <w:rFonts w:ascii="Bookman Old Style" w:eastAsia="Calibri" w:hAnsi="Bookman Old Style" w:cs="Calibri"/>
          <w:szCs w:val="24"/>
        </w:rPr>
        <w:t>Esto nos lleva a concluir que en Colombia ha existido</w:t>
      </w:r>
      <w:r>
        <w:rPr>
          <w:rFonts w:ascii="Bookman Old Style" w:eastAsia="Calibri" w:hAnsi="Bookman Old Style" w:cs="Calibri"/>
          <w:szCs w:val="24"/>
        </w:rPr>
        <w:t xml:space="preserve"> una pugna en lo que respecta al consumo de sustancias psicoactivas. Por un lado, el Gobierno ha sostenido y defendido</w:t>
      </w:r>
      <w:r w:rsidRPr="00485CC5">
        <w:rPr>
          <w:rFonts w:ascii="Bookman Old Style" w:eastAsia="Calibri" w:hAnsi="Bookman Old Style" w:cs="Calibri"/>
          <w:szCs w:val="24"/>
        </w:rPr>
        <w:t xml:space="preserve"> una</w:t>
      </w:r>
      <w:r>
        <w:rPr>
          <w:rFonts w:ascii="Bookman Old Style" w:eastAsia="Calibri" w:hAnsi="Bookman Old Style" w:cs="Calibri"/>
          <w:szCs w:val="24"/>
        </w:rPr>
        <w:t xml:space="preserve"> aproximación</w:t>
      </w:r>
      <w:r w:rsidRPr="00485CC5">
        <w:rPr>
          <w:rFonts w:ascii="Bookman Old Style" w:eastAsia="Calibri" w:hAnsi="Bookman Old Style" w:cs="Calibri"/>
          <w:szCs w:val="24"/>
        </w:rPr>
        <w:t xml:space="preserve"> prohibicionista</w:t>
      </w:r>
      <w:r>
        <w:rPr>
          <w:rFonts w:ascii="Bookman Old Style" w:eastAsia="Calibri" w:hAnsi="Bookman Old Style" w:cs="Calibri"/>
          <w:szCs w:val="24"/>
        </w:rPr>
        <w:t xml:space="preserve"> al tema</w:t>
      </w:r>
      <w:r w:rsidRPr="00485CC5">
        <w:rPr>
          <w:rFonts w:ascii="Bookman Old Style" w:eastAsia="Calibri" w:hAnsi="Bookman Old Style" w:cs="Calibri"/>
          <w:szCs w:val="24"/>
        </w:rPr>
        <w:t>,</w:t>
      </w:r>
      <w:r>
        <w:rPr>
          <w:rFonts w:ascii="Bookman Old Style" w:eastAsia="Calibri" w:hAnsi="Bookman Old Style" w:cs="Calibri"/>
          <w:szCs w:val="24"/>
        </w:rPr>
        <w:t xml:space="preserve"> la cual se ha visto materializada en </w:t>
      </w:r>
      <w:r w:rsidRPr="00485CC5">
        <w:rPr>
          <w:rFonts w:ascii="Bookman Old Style" w:eastAsia="Calibri" w:hAnsi="Bookman Old Style" w:cs="Calibri"/>
          <w:szCs w:val="24"/>
        </w:rPr>
        <w:t xml:space="preserve">el Acto Legislativo 02 de 2009, el Código Nacional de Policía y el Decreto 1844 de 2018.  </w:t>
      </w:r>
      <w:r>
        <w:rPr>
          <w:rFonts w:ascii="Bookman Old Style" w:eastAsia="Calibri" w:hAnsi="Bookman Old Style" w:cs="Calibri"/>
          <w:szCs w:val="24"/>
        </w:rPr>
        <w:t>Postura que se contrapone las posiciones</w:t>
      </w:r>
      <w:r w:rsidRPr="00485CC5">
        <w:rPr>
          <w:rFonts w:ascii="Bookman Old Style" w:eastAsia="Calibri" w:hAnsi="Bookman Old Style" w:cs="Calibri"/>
          <w:szCs w:val="24"/>
        </w:rPr>
        <w:t xml:space="preserve"> reivindicatoria</w:t>
      </w:r>
      <w:r>
        <w:rPr>
          <w:rFonts w:ascii="Bookman Old Style" w:eastAsia="Calibri" w:hAnsi="Bookman Old Style" w:cs="Calibri"/>
          <w:szCs w:val="24"/>
        </w:rPr>
        <w:t>s</w:t>
      </w:r>
      <w:r w:rsidRPr="00485CC5">
        <w:rPr>
          <w:rFonts w:ascii="Bookman Old Style" w:eastAsia="Calibri" w:hAnsi="Bookman Old Style" w:cs="Calibri"/>
          <w:szCs w:val="24"/>
        </w:rPr>
        <w:t xml:space="preserve"> de las libertades individuales</w:t>
      </w:r>
      <w:r>
        <w:rPr>
          <w:rFonts w:ascii="Bookman Old Style" w:eastAsia="Calibri" w:hAnsi="Bookman Old Style" w:cs="Calibri"/>
          <w:szCs w:val="24"/>
        </w:rPr>
        <w:t xml:space="preserve"> que han asumido las altas cortes</w:t>
      </w:r>
      <w:r w:rsidRPr="00485CC5">
        <w:rPr>
          <w:rFonts w:ascii="Bookman Old Style" w:eastAsia="Calibri" w:hAnsi="Bookman Old Style" w:cs="Calibri"/>
          <w:szCs w:val="24"/>
        </w:rPr>
        <w:t xml:space="preserve">. </w:t>
      </w:r>
      <w:r>
        <w:rPr>
          <w:rFonts w:ascii="Bookman Old Style" w:eastAsia="Calibri" w:hAnsi="Bookman Old Style" w:cs="Calibri"/>
          <w:szCs w:val="24"/>
        </w:rPr>
        <w:t>Los tribunales en Colombia han optado por</w:t>
      </w:r>
      <w:r w:rsidRPr="00485CC5">
        <w:rPr>
          <w:rFonts w:ascii="Bookman Old Style" w:eastAsia="Calibri" w:hAnsi="Bookman Old Style" w:cs="Calibri"/>
          <w:szCs w:val="24"/>
        </w:rPr>
        <w:t xml:space="preserve"> adoptar una</w:t>
      </w:r>
      <w:r>
        <w:rPr>
          <w:rFonts w:ascii="Bookman Old Style" w:eastAsia="Calibri" w:hAnsi="Bookman Old Style" w:cs="Calibri"/>
          <w:szCs w:val="24"/>
        </w:rPr>
        <w:t xml:space="preserve"> aproximación al consumo</w:t>
      </w:r>
      <w:r w:rsidRPr="00485CC5">
        <w:rPr>
          <w:rFonts w:ascii="Bookman Old Style" w:eastAsia="Calibri" w:hAnsi="Bookman Old Style" w:cs="Calibri"/>
          <w:szCs w:val="24"/>
        </w:rPr>
        <w:t xml:space="preserve"> de drogas más humana, garantista y eficaz</w:t>
      </w:r>
      <w:r>
        <w:rPr>
          <w:rFonts w:ascii="Bookman Old Style" w:eastAsia="Calibri" w:hAnsi="Bookman Old Style" w:cs="Calibri"/>
          <w:szCs w:val="24"/>
        </w:rPr>
        <w:t>, llegando</w:t>
      </w:r>
      <w:r w:rsidRPr="00485CC5">
        <w:rPr>
          <w:rFonts w:ascii="Bookman Old Style" w:eastAsia="Calibri" w:hAnsi="Bookman Old Style" w:cs="Calibri"/>
          <w:szCs w:val="24"/>
        </w:rPr>
        <w:t xml:space="preserve"> a permitir la dosis mínima, la dosis de aprovisionamiento y el derecho al libre consumo</w:t>
      </w:r>
      <w:r>
        <w:rPr>
          <w:rFonts w:ascii="Bookman Old Style" w:eastAsia="Calibri" w:hAnsi="Bookman Old Style" w:cs="Calibri"/>
          <w:szCs w:val="24"/>
        </w:rPr>
        <w:t>. Esto, en defensa de los derechos fundamentales que han venido siendo vulnerados por las medidas adoptadas desde el ejecutivo.</w:t>
      </w:r>
      <w:r w:rsidRPr="00485CC5">
        <w:rPr>
          <w:rFonts w:ascii="Bookman Old Style" w:eastAsia="Calibri" w:hAnsi="Bookman Old Style" w:cs="Calibri"/>
          <w:szCs w:val="24"/>
        </w:rPr>
        <w:t xml:space="preserve"> </w:t>
      </w:r>
    </w:p>
    <w:p w:rsidR="007E2A01" w:rsidRPr="00485CC5" w:rsidRDefault="007E2A01" w:rsidP="007E2A01">
      <w:pPr>
        <w:jc w:val="both"/>
        <w:rPr>
          <w:rFonts w:ascii="Bookman Old Style" w:eastAsia="Calibri" w:hAnsi="Bookman Old Style" w:cs="Calibri"/>
          <w:szCs w:val="24"/>
        </w:rPr>
      </w:pPr>
    </w:p>
    <w:p w:rsidR="007E2A01" w:rsidRDefault="007E2A01" w:rsidP="007E2A01">
      <w:pPr>
        <w:jc w:val="both"/>
        <w:rPr>
          <w:rFonts w:ascii="Bookman Old Style" w:eastAsia="Calibri" w:hAnsi="Bookman Old Style" w:cs="Calibri"/>
          <w:b/>
          <w:szCs w:val="24"/>
        </w:rPr>
      </w:pPr>
      <w:r w:rsidRPr="00485CC5">
        <w:rPr>
          <w:rFonts w:ascii="Bookman Old Style" w:eastAsia="Calibri" w:hAnsi="Bookman Old Style" w:cs="Calibri"/>
          <w:szCs w:val="24"/>
        </w:rPr>
        <w:t xml:space="preserve">Consecuencia de lo anterior, en la actualidad no exista certeza sobre los límites constitucionales, legales y jurisprudenciales en la materia, por lo cual es pertinente adoptar una única posición estatal. Para el efecto, se procederá a realizar un análisis de derecho comparado sobre la regulación del cannabis en otros países, así como de los efectos que se han derivado de la prohibición actual. Finalmente, se retomará el estudio constitucional y legal sobre la materia para justificar este proyecto de Acto Legislativo. </w:t>
      </w:r>
    </w:p>
    <w:p w:rsidR="007E2A01" w:rsidRDefault="007E2A01" w:rsidP="007E2A01">
      <w:pPr>
        <w:jc w:val="both"/>
        <w:rPr>
          <w:rFonts w:ascii="Bookman Old Style" w:eastAsia="Calibri" w:hAnsi="Bookman Old Style" w:cs="Calibri"/>
          <w:b/>
          <w:szCs w:val="24"/>
        </w:rPr>
      </w:pPr>
    </w:p>
    <w:p w:rsidR="007E2A01" w:rsidRPr="00780580" w:rsidRDefault="007E2A01" w:rsidP="007E2A01">
      <w:pPr>
        <w:jc w:val="both"/>
        <w:rPr>
          <w:rFonts w:ascii="Bookman Old Style" w:eastAsia="Calibri" w:hAnsi="Bookman Old Style" w:cs="Calibri"/>
          <w:b/>
        </w:rPr>
      </w:pPr>
      <w:r>
        <w:rPr>
          <w:rFonts w:ascii="Bookman Old Style" w:eastAsia="Calibri" w:hAnsi="Bookman Old Style" w:cs="Calibri"/>
          <w:b/>
        </w:rPr>
        <w:t>5</w:t>
      </w:r>
      <w:r w:rsidRPr="00780580">
        <w:rPr>
          <w:rFonts w:ascii="Bookman Old Style" w:eastAsia="Calibri" w:hAnsi="Bookman Old Style" w:cs="Calibri"/>
          <w:b/>
        </w:rPr>
        <w:t>.2 POSTURA ACTUAL FRENTE AL USO DEL CANNABIS A NIVEL INTERNACIONAL</w:t>
      </w:r>
      <w:r>
        <w:rPr>
          <w:rFonts w:ascii="Bookman Old Style" w:eastAsia="Calibri" w:hAnsi="Bookman Old Style" w:cs="Calibri"/>
          <w:b/>
        </w:rPr>
        <w:t>.</w:t>
      </w:r>
    </w:p>
    <w:p w:rsidR="007E2A01" w:rsidRPr="00780580" w:rsidRDefault="007E2A01" w:rsidP="007E2A01">
      <w:pPr>
        <w:pStyle w:val="Sinespaciado"/>
        <w:rPr>
          <w:rFonts w:ascii="Bookman Old Style" w:eastAsia="Calibri" w:hAnsi="Bookman Old Style"/>
        </w:rPr>
      </w:pPr>
    </w:p>
    <w:p w:rsidR="007E2A01" w:rsidRPr="00780580" w:rsidRDefault="007E2A01" w:rsidP="007E2A01">
      <w:pPr>
        <w:pStyle w:val="Sinespaciado"/>
        <w:rPr>
          <w:rFonts w:ascii="Bookman Old Style" w:eastAsia="Calibri" w:hAnsi="Bookman Old Style"/>
          <w:b/>
        </w:rPr>
      </w:pPr>
      <w:r w:rsidRPr="00780580">
        <w:rPr>
          <w:rFonts w:ascii="Bookman Old Style" w:eastAsia="Calibri" w:hAnsi="Bookman Old Style"/>
        </w:rPr>
        <w:t xml:space="preserve">Son muchos los países que poco a poco han venido realizando una transición hacia la regularización del cannabis tanto de uso adulto como de uso medicinal y científico. Países como Uruguay, Holanda, Canadá, 18 estados de Estados Unidos </w:t>
      </w:r>
      <w:r w:rsidRPr="00780580">
        <w:rPr>
          <w:rFonts w:ascii="Bookman Old Style" w:eastAsia="Calibri" w:hAnsi="Bookman Old Style"/>
        </w:rPr>
        <w:lastRenderedPageBreak/>
        <w:t xml:space="preserve">y recientemente México, han enarbolado las banderas de la regularización del cannabis como pioneros, en donde se puede encontrar un mercado legal con controles eficaces y eficientes. </w:t>
      </w:r>
    </w:p>
    <w:p w:rsidR="007E2A01" w:rsidRPr="00780580" w:rsidRDefault="007E2A01" w:rsidP="007E2A01">
      <w:pPr>
        <w:jc w:val="both"/>
        <w:rPr>
          <w:rFonts w:ascii="Bookman Old Style" w:eastAsia="Calibri" w:hAnsi="Bookman Old Style"/>
        </w:rPr>
      </w:pPr>
    </w:p>
    <w:p w:rsidR="007E2A01" w:rsidRPr="00780580" w:rsidRDefault="007E2A01" w:rsidP="007E2A01">
      <w:pPr>
        <w:jc w:val="both"/>
        <w:rPr>
          <w:rFonts w:ascii="Bookman Old Style" w:eastAsia="Calibri" w:hAnsi="Bookman Old Style"/>
        </w:rPr>
      </w:pPr>
      <w:r w:rsidRPr="00780580">
        <w:rPr>
          <w:rFonts w:ascii="Bookman Old Style" w:eastAsia="Calibri" w:hAnsi="Bookman Old Style"/>
        </w:rPr>
        <w:t>Uruguay, el Estado de Colorado y Canadá han sido ejemplo en la regulación de disposiciones sobre enfoque, objetivos, autoridades de control, producción, distribución, establecimientos para el consumo, edad mínima, registro, publicidad, fiscalidad, prevención y destinación de los recursos producidos por el nuevo mercado legal, como se muestra a continuación</w:t>
      </w:r>
      <w:r w:rsidRPr="00780580">
        <w:rPr>
          <w:rStyle w:val="Refdenotaalpie"/>
          <w:rFonts w:ascii="Bookman Old Style" w:eastAsia="Calibri" w:hAnsi="Bookman Old Style"/>
        </w:rPr>
        <w:footnoteReference w:id="10"/>
      </w:r>
      <w:r w:rsidRPr="00780580">
        <w:rPr>
          <w:rFonts w:ascii="Bookman Old Style" w:eastAsia="Calibri" w:hAnsi="Bookman Old Style"/>
        </w:rPr>
        <w:t>:</w:t>
      </w:r>
      <w:r w:rsidRPr="00780580" w:rsidDel="002E290A">
        <w:rPr>
          <w:rFonts w:ascii="Bookman Old Style" w:eastAsia="Calibri" w:hAnsi="Bookman Old Style"/>
        </w:rPr>
        <w:t xml:space="preserve"> </w:t>
      </w:r>
    </w:p>
    <w:p w:rsidR="007E2A01" w:rsidRPr="00780580" w:rsidRDefault="007E2A01" w:rsidP="007E2A01">
      <w:pPr>
        <w:jc w:val="both"/>
        <w:rPr>
          <w:rFonts w:ascii="Bookman Old Style" w:eastAsia="Calibri" w:hAnsi="Bookman Old Style"/>
        </w:rPr>
      </w:pPr>
    </w:p>
    <w:p w:rsidR="007E2A01" w:rsidRPr="00780580" w:rsidRDefault="007E2A01" w:rsidP="007E2A01">
      <w:pPr>
        <w:jc w:val="center"/>
        <w:rPr>
          <w:rFonts w:ascii="Bookman Old Style" w:eastAsia="Calibri" w:hAnsi="Bookman Old Style"/>
          <w:b/>
        </w:rPr>
      </w:pPr>
      <w:r w:rsidRPr="00780580">
        <w:rPr>
          <w:rFonts w:ascii="Bookman Old Style" w:eastAsia="Calibri" w:hAnsi="Bookman Old Style"/>
          <w:b/>
        </w:rPr>
        <w:t xml:space="preserve">Tabla 1. </w:t>
      </w:r>
    </w:p>
    <w:p w:rsidR="007E2A01" w:rsidRPr="00780580" w:rsidRDefault="007E2A01" w:rsidP="007E2A01">
      <w:pPr>
        <w:jc w:val="center"/>
        <w:rPr>
          <w:rFonts w:ascii="Bookman Old Style" w:eastAsia="Calibri" w:hAnsi="Bookman Old Style"/>
          <w:b/>
        </w:rPr>
      </w:pPr>
      <w:r w:rsidRPr="00780580">
        <w:rPr>
          <w:rFonts w:ascii="Bookman Old Style" w:eastAsia="Calibri" w:hAnsi="Bookman Old Style"/>
          <w:b/>
        </w:rPr>
        <w:t xml:space="preserve">Aspectos modificados en </w:t>
      </w:r>
    </w:p>
    <w:p w:rsidR="007E2A01" w:rsidRPr="00780580" w:rsidRDefault="007E2A01" w:rsidP="007E2A01">
      <w:pPr>
        <w:jc w:val="center"/>
        <w:rPr>
          <w:rFonts w:ascii="Bookman Old Style" w:eastAsia="Calibri" w:hAnsi="Bookman Old Style"/>
          <w:b/>
        </w:rPr>
      </w:pPr>
      <w:r w:rsidRPr="00780580">
        <w:rPr>
          <w:rFonts w:ascii="Bookman Old Style" w:eastAsia="Calibri" w:hAnsi="Bookman Old Style"/>
          <w:b/>
        </w:rPr>
        <w:t>Uruguay, Colorado (Estados Unidos) y Canadá</w:t>
      </w:r>
    </w:p>
    <w:p w:rsidR="007E2A01" w:rsidRPr="00780580" w:rsidRDefault="007E2A01" w:rsidP="007E2A01">
      <w:pPr>
        <w:jc w:val="center"/>
        <w:rPr>
          <w:rFonts w:ascii="Bookman Old Style" w:eastAsia="Calibri" w:hAnsi="Bookman Old Style"/>
          <w:b/>
        </w:rPr>
      </w:pPr>
    </w:p>
    <w:tbl>
      <w:tblPr>
        <w:tblStyle w:val="Tablaconcuadrcula"/>
        <w:tblW w:w="9876" w:type="dxa"/>
        <w:tblInd w:w="-431" w:type="dxa"/>
        <w:tblLook w:val="04A0" w:firstRow="1" w:lastRow="0" w:firstColumn="1" w:lastColumn="0" w:noHBand="0" w:noVBand="1"/>
      </w:tblPr>
      <w:tblGrid>
        <w:gridCol w:w="2978"/>
        <w:gridCol w:w="4111"/>
        <w:gridCol w:w="2787"/>
      </w:tblGrid>
      <w:tr w:rsidR="007E2A01" w:rsidRPr="00780580" w:rsidTr="007E2A01">
        <w:trPr>
          <w:trHeight w:val="20"/>
        </w:trPr>
        <w:tc>
          <w:tcPr>
            <w:tcW w:w="2978" w:type="dxa"/>
            <w:shd w:val="clear" w:color="auto" w:fill="BFBFBF" w:themeFill="background1" w:themeFillShade="BF"/>
            <w:vAlign w:val="center"/>
          </w:tcPr>
          <w:p w:rsidR="007E2A01" w:rsidRPr="00780580" w:rsidRDefault="007E2A01" w:rsidP="007E2A01">
            <w:pPr>
              <w:jc w:val="center"/>
              <w:rPr>
                <w:rFonts w:ascii="Bookman Old Style" w:hAnsi="Bookman Old Style"/>
                <w:b/>
              </w:rPr>
            </w:pPr>
            <w:r w:rsidRPr="00780580">
              <w:rPr>
                <w:rFonts w:ascii="Bookman Old Style" w:hAnsi="Bookman Old Style"/>
                <w:b/>
              </w:rPr>
              <w:t>URUGUAY</w:t>
            </w:r>
          </w:p>
        </w:tc>
        <w:tc>
          <w:tcPr>
            <w:tcW w:w="4111" w:type="dxa"/>
            <w:shd w:val="clear" w:color="auto" w:fill="BFBFBF" w:themeFill="background1" w:themeFillShade="BF"/>
            <w:vAlign w:val="center"/>
          </w:tcPr>
          <w:p w:rsidR="007E2A01" w:rsidRPr="00780580" w:rsidRDefault="007E2A01" w:rsidP="007E2A01">
            <w:pPr>
              <w:jc w:val="center"/>
              <w:rPr>
                <w:rFonts w:ascii="Bookman Old Style" w:hAnsi="Bookman Old Style"/>
                <w:b/>
              </w:rPr>
            </w:pPr>
            <w:r w:rsidRPr="00780580">
              <w:rPr>
                <w:rFonts w:ascii="Bookman Old Style" w:hAnsi="Bookman Old Style"/>
                <w:b/>
              </w:rPr>
              <w:t>COLORADO – EEUU</w:t>
            </w:r>
          </w:p>
        </w:tc>
        <w:tc>
          <w:tcPr>
            <w:tcW w:w="2787" w:type="dxa"/>
            <w:shd w:val="clear" w:color="auto" w:fill="BFBFBF" w:themeFill="background1" w:themeFillShade="BF"/>
            <w:vAlign w:val="center"/>
          </w:tcPr>
          <w:p w:rsidR="007E2A01" w:rsidRPr="00780580" w:rsidRDefault="007E2A01" w:rsidP="007E2A01">
            <w:pPr>
              <w:jc w:val="center"/>
              <w:rPr>
                <w:rFonts w:ascii="Bookman Old Style" w:hAnsi="Bookman Old Style"/>
                <w:b/>
              </w:rPr>
            </w:pPr>
            <w:r w:rsidRPr="00780580">
              <w:rPr>
                <w:rFonts w:ascii="Bookman Old Style" w:hAnsi="Bookman Old Style"/>
                <w:b/>
              </w:rPr>
              <w:t>CANADÁ</w:t>
            </w:r>
          </w:p>
        </w:tc>
      </w:tr>
      <w:tr w:rsidR="007E2A01" w:rsidRPr="00780580" w:rsidTr="007E2A01">
        <w:trPr>
          <w:trHeight w:val="20"/>
        </w:trPr>
        <w:tc>
          <w:tcPr>
            <w:tcW w:w="9876" w:type="dxa"/>
            <w:gridSpan w:val="3"/>
            <w:shd w:val="clear" w:color="auto" w:fill="D9D9D9" w:themeFill="background1" w:themeFillShade="D9"/>
            <w:vAlign w:val="center"/>
          </w:tcPr>
          <w:p w:rsidR="007E2A01" w:rsidRPr="00780580" w:rsidRDefault="007E2A01" w:rsidP="007E2A01">
            <w:pPr>
              <w:jc w:val="center"/>
              <w:rPr>
                <w:rFonts w:ascii="Bookman Old Style" w:hAnsi="Bookman Old Style"/>
                <w:b/>
                <w:i/>
              </w:rPr>
            </w:pPr>
            <w:r w:rsidRPr="00780580">
              <w:rPr>
                <w:rFonts w:ascii="Bookman Old Style" w:hAnsi="Bookman Old Style"/>
                <w:b/>
                <w:i/>
              </w:rPr>
              <w:t>Enfoque</w:t>
            </w:r>
          </w:p>
        </w:tc>
      </w:tr>
      <w:tr w:rsidR="007E2A01" w:rsidRPr="00780580" w:rsidTr="007E2A01">
        <w:trPr>
          <w:trHeight w:val="20"/>
        </w:trPr>
        <w:tc>
          <w:tcPr>
            <w:tcW w:w="2978" w:type="dxa"/>
            <w:vAlign w:val="center"/>
          </w:tcPr>
          <w:p w:rsidR="007E2A01" w:rsidRPr="00780580" w:rsidRDefault="007E2A01" w:rsidP="007E2A01">
            <w:pPr>
              <w:pStyle w:val="Ttulo2"/>
              <w:widowControl/>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Salud pública.</w:t>
            </w:r>
          </w:p>
          <w:p w:rsidR="007E2A01" w:rsidRPr="00780580" w:rsidRDefault="007E2A01" w:rsidP="007E2A01">
            <w:pPr>
              <w:pStyle w:val="Ttulo2"/>
              <w:widowControl/>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Control estatal.</w:t>
            </w:r>
          </w:p>
          <w:p w:rsidR="007E2A01" w:rsidRPr="00780580" w:rsidRDefault="007E2A01" w:rsidP="007E2A01">
            <w:pPr>
              <w:pStyle w:val="Ttulo2"/>
              <w:widowControl/>
              <w:numPr>
                <w:ilvl w:val="0"/>
                <w:numId w:val="29"/>
              </w:numPr>
              <w:tabs>
                <w:tab w:val="num" w:pos="360"/>
              </w:tabs>
              <w:ind w:left="0" w:right="200" w:hanging="142"/>
              <w:jc w:val="both"/>
              <w:outlineLvl w:val="1"/>
              <w:rPr>
                <w:rFonts w:ascii="Bookman Old Style" w:hAnsi="Bookman Old Style"/>
                <w:sz w:val="22"/>
                <w:szCs w:val="22"/>
              </w:rPr>
            </w:pPr>
            <w:r w:rsidRPr="00780580">
              <w:rPr>
                <w:rFonts w:ascii="Bookman Old Style" w:eastAsia="Calibri" w:hAnsi="Bookman Old Style" w:cs="Calibri"/>
                <w:b w:val="0"/>
                <w:sz w:val="22"/>
                <w:szCs w:val="22"/>
              </w:rPr>
              <w:t>Desmercantilización           del cannabis.</w:t>
            </w:r>
          </w:p>
        </w:tc>
        <w:tc>
          <w:tcPr>
            <w:tcW w:w="4111" w:type="dxa"/>
            <w:vAlign w:val="center"/>
          </w:tcPr>
          <w:p w:rsidR="007E2A01" w:rsidRPr="00780580" w:rsidRDefault="007E2A01" w:rsidP="007E2A01">
            <w:pPr>
              <w:pStyle w:val="Ttulo2"/>
              <w:widowControl/>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Salud y seguridad pública.</w:t>
            </w:r>
          </w:p>
          <w:p w:rsidR="007E2A01" w:rsidRPr="00780580" w:rsidRDefault="007E2A01" w:rsidP="007E2A01">
            <w:pPr>
              <w:pStyle w:val="Ttulo2"/>
              <w:widowControl/>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Eficiencia y libertad individual.</w:t>
            </w:r>
          </w:p>
          <w:p w:rsidR="007E2A01" w:rsidRPr="00780580" w:rsidRDefault="007E2A01" w:rsidP="007E2A01">
            <w:pPr>
              <w:pStyle w:val="Ttulo2"/>
              <w:widowControl/>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Recaudación.</w:t>
            </w:r>
          </w:p>
          <w:p w:rsidR="007E2A01" w:rsidRPr="00780580" w:rsidRDefault="007E2A01" w:rsidP="007E2A01">
            <w:pPr>
              <w:pStyle w:val="Ttulo2"/>
              <w:widowControl/>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Libre mercado.</w:t>
            </w:r>
          </w:p>
        </w:tc>
        <w:tc>
          <w:tcPr>
            <w:tcW w:w="2787" w:type="dxa"/>
            <w:vAlign w:val="center"/>
          </w:tcPr>
          <w:p w:rsidR="007E2A01" w:rsidRPr="00780580" w:rsidRDefault="007E2A01" w:rsidP="007E2A01">
            <w:pPr>
              <w:pStyle w:val="Ttulo2"/>
              <w:widowControl/>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Enfoque salud pública.</w:t>
            </w:r>
          </w:p>
          <w:p w:rsidR="007E2A01" w:rsidRPr="00780580" w:rsidRDefault="007E2A01" w:rsidP="007E2A01">
            <w:pPr>
              <w:pStyle w:val="Ttulo2"/>
              <w:widowControl/>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Seguridad en la práctica.</w:t>
            </w:r>
          </w:p>
          <w:p w:rsidR="007E2A01" w:rsidRPr="00780580" w:rsidRDefault="007E2A01" w:rsidP="007E2A01">
            <w:pPr>
              <w:pStyle w:val="Ttulo2"/>
              <w:widowControl/>
              <w:numPr>
                <w:ilvl w:val="0"/>
                <w:numId w:val="29"/>
              </w:numPr>
              <w:tabs>
                <w:tab w:val="num" w:pos="360"/>
              </w:tabs>
              <w:ind w:left="0" w:right="200" w:hanging="142"/>
              <w:jc w:val="both"/>
              <w:outlineLvl w:val="1"/>
              <w:rPr>
                <w:rFonts w:ascii="Bookman Old Style" w:hAnsi="Bookman Old Style"/>
                <w:sz w:val="22"/>
                <w:szCs w:val="22"/>
              </w:rPr>
            </w:pPr>
            <w:r w:rsidRPr="00780580">
              <w:rPr>
                <w:rFonts w:ascii="Bookman Old Style" w:eastAsia="Calibri" w:hAnsi="Bookman Old Style" w:cs="Calibri"/>
                <w:b w:val="0"/>
                <w:sz w:val="22"/>
                <w:szCs w:val="22"/>
              </w:rPr>
              <w:t>Libre mercado.</w:t>
            </w:r>
          </w:p>
        </w:tc>
      </w:tr>
      <w:tr w:rsidR="007E2A01" w:rsidRPr="00780580" w:rsidTr="007E2A01">
        <w:trPr>
          <w:trHeight w:val="20"/>
        </w:trPr>
        <w:tc>
          <w:tcPr>
            <w:tcW w:w="9876" w:type="dxa"/>
            <w:gridSpan w:val="3"/>
            <w:shd w:val="clear" w:color="auto" w:fill="D9D9D9" w:themeFill="background1" w:themeFillShade="D9"/>
            <w:vAlign w:val="center"/>
          </w:tcPr>
          <w:p w:rsidR="007E2A01" w:rsidRPr="00780580" w:rsidRDefault="007E2A01" w:rsidP="007E2A01">
            <w:pPr>
              <w:jc w:val="center"/>
              <w:rPr>
                <w:rFonts w:ascii="Bookman Old Style" w:hAnsi="Bookman Old Style"/>
                <w:b/>
                <w:i/>
              </w:rPr>
            </w:pPr>
            <w:r w:rsidRPr="00780580">
              <w:rPr>
                <w:rFonts w:ascii="Bookman Old Style" w:hAnsi="Bookman Old Style"/>
                <w:b/>
                <w:i/>
              </w:rPr>
              <w:t>Objetivos</w:t>
            </w:r>
          </w:p>
        </w:tc>
      </w:tr>
      <w:tr w:rsidR="007E2A01" w:rsidRPr="00780580" w:rsidTr="007E2A01">
        <w:trPr>
          <w:trHeight w:val="20"/>
        </w:trPr>
        <w:tc>
          <w:tcPr>
            <w:tcW w:w="2978" w:type="dxa"/>
            <w:vAlign w:val="center"/>
          </w:tcPr>
          <w:p w:rsidR="007E2A01" w:rsidRPr="00780580" w:rsidRDefault="007E2A01" w:rsidP="007E2A01">
            <w:pPr>
              <w:pStyle w:val="Ttulo2"/>
              <w:widowControl/>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Proteger a los habitantes del comercio ilegal y el narcotráfico.</w:t>
            </w:r>
          </w:p>
          <w:p w:rsidR="007E2A01" w:rsidRPr="00780580" w:rsidRDefault="007E2A01" w:rsidP="007E2A01">
            <w:pPr>
              <w:pStyle w:val="Ttulo2"/>
              <w:widowControl/>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Atacar consecuencias sanitarias, sociales y económicas del uso problemático de sustancias psicoactivas.</w:t>
            </w:r>
          </w:p>
          <w:p w:rsidR="007E2A01" w:rsidRPr="00780580" w:rsidRDefault="007E2A01" w:rsidP="007E2A01">
            <w:pPr>
              <w:pStyle w:val="Ttulo2"/>
              <w:widowControl/>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Reducir la incidencia del narcotráfico y del crimen organizado.</w:t>
            </w:r>
          </w:p>
        </w:tc>
        <w:tc>
          <w:tcPr>
            <w:tcW w:w="4111" w:type="dxa"/>
            <w:vAlign w:val="center"/>
          </w:tcPr>
          <w:p w:rsidR="007E2A01" w:rsidRPr="00780580" w:rsidRDefault="007E2A01" w:rsidP="007E2A01">
            <w:pPr>
              <w:pStyle w:val="Ttulo2"/>
              <w:ind w:left="0"/>
              <w:outlineLvl w:val="1"/>
              <w:rPr>
                <w:rFonts w:ascii="Bookman Old Style" w:eastAsia="Calibri" w:hAnsi="Bookman Old Style" w:cs="Calibri"/>
                <w:b w:val="0"/>
                <w:i/>
                <w:sz w:val="22"/>
                <w:szCs w:val="22"/>
              </w:rPr>
            </w:pPr>
            <w:r w:rsidRPr="00780580">
              <w:rPr>
                <w:rFonts w:ascii="Bookman Old Style" w:eastAsia="Calibri" w:hAnsi="Bookman Old Style" w:cs="Calibri"/>
                <w:b w:val="0"/>
                <w:i/>
                <w:sz w:val="22"/>
                <w:szCs w:val="22"/>
              </w:rPr>
              <w:t>Enmienda 64:</w:t>
            </w:r>
          </w:p>
          <w:p w:rsidR="007E2A01" w:rsidRPr="00780580" w:rsidRDefault="007E2A01" w:rsidP="007E2A01">
            <w:pPr>
              <w:pStyle w:val="Ttulo2"/>
              <w:widowControl/>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Uso eficiente de los recursos para la aplicación de la ley.</w:t>
            </w:r>
          </w:p>
          <w:p w:rsidR="007E2A01" w:rsidRPr="00780580" w:rsidRDefault="007E2A01" w:rsidP="007E2A01">
            <w:pPr>
              <w:pStyle w:val="Ttulo2"/>
              <w:widowControl/>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Aumento de ingresos para fines públicos.</w:t>
            </w:r>
          </w:p>
          <w:p w:rsidR="007E2A01" w:rsidRPr="00780580" w:rsidRDefault="007E2A01" w:rsidP="007E2A01">
            <w:pPr>
              <w:pStyle w:val="Ttulo2"/>
              <w:widowControl/>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Libertad individual.</w:t>
            </w:r>
          </w:p>
          <w:p w:rsidR="007E2A01" w:rsidRPr="00780580" w:rsidRDefault="007E2A01" w:rsidP="007E2A01">
            <w:pPr>
              <w:jc w:val="center"/>
              <w:rPr>
                <w:rFonts w:ascii="Bookman Old Style" w:hAnsi="Bookman Old Style" w:cs="Calibri"/>
              </w:rPr>
            </w:pPr>
          </w:p>
          <w:p w:rsidR="007E2A01" w:rsidRPr="00780580" w:rsidRDefault="007E2A01" w:rsidP="007E2A01">
            <w:pPr>
              <w:pStyle w:val="Ttulo2"/>
              <w:ind w:left="0" w:right="40"/>
              <w:jc w:val="both"/>
              <w:outlineLvl w:val="1"/>
              <w:rPr>
                <w:rFonts w:ascii="Bookman Old Style" w:eastAsia="Calibri" w:hAnsi="Bookman Old Style" w:cs="Calibri"/>
                <w:sz w:val="22"/>
                <w:szCs w:val="22"/>
              </w:rPr>
            </w:pPr>
            <w:r w:rsidRPr="00780580">
              <w:rPr>
                <w:rFonts w:ascii="Bookman Old Style" w:eastAsia="Calibri" w:hAnsi="Bookman Old Style" w:cs="Calibri"/>
                <w:b w:val="0"/>
                <w:i/>
                <w:sz w:val="22"/>
                <w:szCs w:val="22"/>
              </w:rPr>
              <w:t>Principio rector gobierno Colorado:</w:t>
            </w:r>
            <w:r w:rsidRPr="00780580">
              <w:rPr>
                <w:rFonts w:ascii="Bookman Old Style" w:eastAsia="Calibri" w:hAnsi="Bookman Old Style" w:cs="Calibri"/>
                <w:sz w:val="22"/>
                <w:szCs w:val="22"/>
              </w:rPr>
              <w:t xml:space="preserve"> </w:t>
            </w:r>
            <w:r w:rsidRPr="00780580">
              <w:rPr>
                <w:rFonts w:ascii="Bookman Old Style" w:eastAsia="Calibri" w:hAnsi="Bookman Old Style" w:cs="Calibri"/>
                <w:b w:val="0"/>
                <w:sz w:val="22"/>
                <w:szCs w:val="22"/>
              </w:rPr>
              <w:t>crear un entorno normativo y de aplicación de la ley robusto que proteja la seguridad pública y evite el desvío de marihuana de venta al por menor a personas menores de 21 años o de fuera del estado de Colorado</w:t>
            </w:r>
            <w:r w:rsidRPr="00780580">
              <w:rPr>
                <w:rFonts w:ascii="Bookman Old Style" w:eastAsia="Calibri" w:hAnsi="Bookman Old Style" w:cs="Calibri"/>
                <w:sz w:val="22"/>
                <w:szCs w:val="22"/>
              </w:rPr>
              <w:t>.</w:t>
            </w:r>
          </w:p>
        </w:tc>
        <w:tc>
          <w:tcPr>
            <w:tcW w:w="2787" w:type="dxa"/>
            <w:vAlign w:val="center"/>
          </w:tcPr>
          <w:p w:rsidR="007E2A01" w:rsidRPr="00780580" w:rsidRDefault="007E2A01" w:rsidP="007E2A01">
            <w:pPr>
              <w:pStyle w:val="Ttulo2"/>
              <w:widowControl/>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Protección de la salud.</w:t>
            </w:r>
          </w:p>
          <w:p w:rsidR="007E2A01" w:rsidRPr="00780580" w:rsidRDefault="007E2A01" w:rsidP="007E2A01">
            <w:pPr>
              <w:pStyle w:val="Ttulo2"/>
              <w:widowControl/>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Luchar contra el crimen organizado.</w:t>
            </w:r>
          </w:p>
        </w:tc>
      </w:tr>
      <w:tr w:rsidR="007E2A01" w:rsidRPr="00780580" w:rsidTr="007E2A01">
        <w:trPr>
          <w:trHeight w:val="20"/>
        </w:trPr>
        <w:tc>
          <w:tcPr>
            <w:tcW w:w="9876" w:type="dxa"/>
            <w:gridSpan w:val="3"/>
            <w:shd w:val="clear" w:color="auto" w:fill="D9D9D9" w:themeFill="background1" w:themeFillShade="D9"/>
            <w:vAlign w:val="center"/>
          </w:tcPr>
          <w:p w:rsidR="007E2A01" w:rsidRPr="00780580" w:rsidRDefault="007E2A01" w:rsidP="007E2A01">
            <w:pPr>
              <w:jc w:val="center"/>
              <w:rPr>
                <w:rFonts w:ascii="Bookman Old Style" w:hAnsi="Bookman Old Style"/>
                <w:b/>
                <w:i/>
                <w:lang w:val="en-US"/>
              </w:rPr>
            </w:pPr>
            <w:r w:rsidRPr="00780580">
              <w:rPr>
                <w:rFonts w:ascii="Bookman Old Style" w:hAnsi="Bookman Old Style"/>
                <w:b/>
                <w:i/>
                <w:lang w:val="en-US"/>
              </w:rPr>
              <w:t>Entidad que regula</w:t>
            </w:r>
          </w:p>
        </w:tc>
      </w:tr>
      <w:tr w:rsidR="007E2A01" w:rsidRPr="00286A0B" w:rsidTr="007E2A01">
        <w:trPr>
          <w:trHeight w:val="20"/>
        </w:trPr>
        <w:tc>
          <w:tcPr>
            <w:tcW w:w="2978" w:type="dxa"/>
            <w:vAlign w:val="center"/>
          </w:tcPr>
          <w:p w:rsidR="007E2A01" w:rsidRPr="00780580" w:rsidRDefault="007E2A01" w:rsidP="007E2A01">
            <w:pPr>
              <w:jc w:val="both"/>
              <w:rPr>
                <w:rFonts w:ascii="Bookman Old Style" w:hAnsi="Bookman Old Style"/>
              </w:rPr>
            </w:pPr>
            <w:r w:rsidRPr="00780580">
              <w:rPr>
                <w:rFonts w:ascii="Bookman Old Style" w:eastAsia="Calibri" w:hAnsi="Bookman Old Style" w:cs="Calibri"/>
              </w:rPr>
              <w:t>Instituto de Regulación y Control de Cannabis (IRCCA). Ministerio de Salud Pública.</w:t>
            </w:r>
          </w:p>
        </w:tc>
        <w:tc>
          <w:tcPr>
            <w:tcW w:w="4111" w:type="dxa"/>
            <w:vAlign w:val="center"/>
          </w:tcPr>
          <w:p w:rsidR="007E2A01" w:rsidRPr="00780580" w:rsidRDefault="007E2A01" w:rsidP="007E2A01">
            <w:pPr>
              <w:pStyle w:val="Ttulo2"/>
              <w:widowControl/>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Marijuana Enforcement Division/ División de Aplicación de la Ley sobre Marihuana.</w:t>
            </w:r>
          </w:p>
          <w:p w:rsidR="007E2A01" w:rsidRPr="00780580" w:rsidRDefault="007E2A01" w:rsidP="007E2A01">
            <w:pPr>
              <w:pStyle w:val="Ttulo2"/>
              <w:widowControl/>
              <w:numPr>
                <w:ilvl w:val="0"/>
                <w:numId w:val="29"/>
              </w:numPr>
              <w:tabs>
                <w:tab w:val="num" w:pos="360"/>
              </w:tabs>
              <w:ind w:left="0" w:right="200" w:hanging="142"/>
              <w:jc w:val="both"/>
              <w:outlineLvl w:val="1"/>
              <w:rPr>
                <w:rFonts w:ascii="Bookman Old Style" w:hAnsi="Bookman Old Style"/>
                <w:sz w:val="22"/>
                <w:szCs w:val="22"/>
              </w:rPr>
            </w:pPr>
            <w:r w:rsidRPr="00780580">
              <w:rPr>
                <w:rFonts w:ascii="Bookman Old Style" w:eastAsia="Calibri" w:hAnsi="Bookman Old Style" w:cs="Calibri"/>
                <w:b w:val="0"/>
                <w:sz w:val="22"/>
                <w:szCs w:val="22"/>
              </w:rPr>
              <w:t>Departamento de Hacienda.</w:t>
            </w:r>
          </w:p>
        </w:tc>
        <w:tc>
          <w:tcPr>
            <w:tcW w:w="2787" w:type="dxa"/>
            <w:vAlign w:val="center"/>
          </w:tcPr>
          <w:p w:rsidR="007E2A01" w:rsidRPr="00780580" w:rsidRDefault="007E2A01" w:rsidP="007E2A01">
            <w:pPr>
              <w:jc w:val="both"/>
              <w:rPr>
                <w:rFonts w:ascii="Bookman Old Style" w:hAnsi="Bookman Old Style"/>
                <w:lang w:val="en-US"/>
              </w:rPr>
            </w:pPr>
            <w:r w:rsidRPr="00780580">
              <w:rPr>
                <w:rFonts w:ascii="Bookman Old Style" w:hAnsi="Bookman Old Style"/>
                <w:lang w:val="en-US"/>
              </w:rPr>
              <w:t>Access to Cannabis for Medical Purposes Regulations (ACMPR) del Ministerio de Salud Canadiense (Health Canada).</w:t>
            </w:r>
          </w:p>
        </w:tc>
      </w:tr>
      <w:tr w:rsidR="007E2A01" w:rsidRPr="00780580" w:rsidTr="007E2A01">
        <w:trPr>
          <w:trHeight w:val="20"/>
        </w:trPr>
        <w:tc>
          <w:tcPr>
            <w:tcW w:w="9876" w:type="dxa"/>
            <w:gridSpan w:val="3"/>
            <w:shd w:val="clear" w:color="auto" w:fill="D9D9D9" w:themeFill="background1" w:themeFillShade="D9"/>
            <w:vAlign w:val="center"/>
          </w:tcPr>
          <w:p w:rsidR="007E2A01" w:rsidRPr="00780580" w:rsidRDefault="007E2A01" w:rsidP="007E2A01">
            <w:pPr>
              <w:jc w:val="center"/>
              <w:rPr>
                <w:rFonts w:ascii="Bookman Old Style" w:hAnsi="Bookman Old Style"/>
              </w:rPr>
            </w:pPr>
            <w:r w:rsidRPr="00780580">
              <w:rPr>
                <w:rFonts w:ascii="Bookman Old Style" w:hAnsi="Bookman Old Style"/>
                <w:b/>
                <w:i/>
              </w:rPr>
              <w:t>Distribución</w:t>
            </w:r>
          </w:p>
        </w:tc>
      </w:tr>
      <w:tr w:rsidR="007E2A01" w:rsidRPr="00780580" w:rsidTr="007E2A01">
        <w:trPr>
          <w:trHeight w:val="20"/>
        </w:trPr>
        <w:tc>
          <w:tcPr>
            <w:tcW w:w="2978" w:type="dxa"/>
            <w:vAlign w:val="center"/>
          </w:tcPr>
          <w:p w:rsidR="007E2A01" w:rsidRPr="00780580" w:rsidRDefault="007E2A01" w:rsidP="007E2A01">
            <w:pPr>
              <w:pStyle w:val="Ttulo2"/>
              <w:widowControl/>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lastRenderedPageBreak/>
              <w:t>Sector público y privado.</w:t>
            </w:r>
          </w:p>
          <w:p w:rsidR="007E2A01" w:rsidRPr="00780580" w:rsidRDefault="007E2A01" w:rsidP="007E2A01">
            <w:pPr>
              <w:pStyle w:val="Ttulo2"/>
              <w:widowControl/>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Farmacias.</w:t>
            </w:r>
          </w:p>
          <w:p w:rsidR="007E2A01" w:rsidRPr="00780580" w:rsidRDefault="007E2A01" w:rsidP="007E2A01">
            <w:pPr>
              <w:pStyle w:val="Ttulo2"/>
              <w:widowControl/>
              <w:numPr>
                <w:ilvl w:val="0"/>
                <w:numId w:val="29"/>
              </w:numPr>
              <w:tabs>
                <w:tab w:val="num" w:pos="360"/>
              </w:tabs>
              <w:ind w:left="0" w:right="200" w:hanging="142"/>
              <w:jc w:val="both"/>
              <w:outlineLvl w:val="1"/>
              <w:rPr>
                <w:rFonts w:ascii="Bookman Old Style" w:hAnsi="Bookman Old Style"/>
                <w:sz w:val="22"/>
                <w:szCs w:val="22"/>
              </w:rPr>
            </w:pPr>
            <w:r w:rsidRPr="00780580">
              <w:rPr>
                <w:rFonts w:ascii="Bookman Old Style" w:eastAsia="Calibri" w:hAnsi="Bookman Old Style" w:cs="Calibri"/>
                <w:b w:val="0"/>
                <w:sz w:val="22"/>
                <w:szCs w:val="22"/>
              </w:rPr>
              <w:t>Clubes de cannabis.</w:t>
            </w:r>
          </w:p>
        </w:tc>
        <w:tc>
          <w:tcPr>
            <w:tcW w:w="4111" w:type="dxa"/>
            <w:vAlign w:val="center"/>
          </w:tcPr>
          <w:p w:rsidR="007E2A01" w:rsidRPr="00780580" w:rsidRDefault="007E2A01" w:rsidP="007E2A01">
            <w:pPr>
              <w:pStyle w:val="Ttulo2"/>
              <w:widowControl/>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Sector privado.</w:t>
            </w:r>
          </w:p>
          <w:p w:rsidR="007E2A01" w:rsidRPr="00780580" w:rsidRDefault="007E2A01" w:rsidP="007E2A01">
            <w:pPr>
              <w:pStyle w:val="Ttulo2"/>
              <w:widowControl/>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Locales comerciales con licencia de dispensación de cannabis medicinal hasta jul.2014.</w:t>
            </w:r>
          </w:p>
          <w:p w:rsidR="007E2A01" w:rsidRPr="00780580" w:rsidRDefault="007E2A01" w:rsidP="007E2A01">
            <w:pPr>
              <w:pStyle w:val="Ttulo2"/>
              <w:widowControl/>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Después licencia medicinal y/o comercial.</w:t>
            </w:r>
          </w:p>
        </w:tc>
        <w:tc>
          <w:tcPr>
            <w:tcW w:w="2787" w:type="dxa"/>
            <w:vAlign w:val="center"/>
          </w:tcPr>
          <w:p w:rsidR="007E2A01" w:rsidRPr="00780580" w:rsidRDefault="007E2A01" w:rsidP="007E2A01">
            <w:pPr>
              <w:pStyle w:val="Ttulo2"/>
              <w:widowControl/>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Sector privado.</w:t>
            </w:r>
          </w:p>
          <w:p w:rsidR="007E2A01" w:rsidRPr="00780580" w:rsidRDefault="007E2A01" w:rsidP="007E2A01">
            <w:pPr>
              <w:pStyle w:val="Ttulo2"/>
              <w:widowControl/>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Locales comerciales con licencia.</w:t>
            </w:r>
          </w:p>
          <w:p w:rsidR="007E2A01" w:rsidRPr="00780580" w:rsidRDefault="007E2A01" w:rsidP="007E2A01">
            <w:pPr>
              <w:pStyle w:val="Ttulo2"/>
              <w:widowControl/>
              <w:numPr>
                <w:ilvl w:val="0"/>
                <w:numId w:val="29"/>
              </w:numPr>
              <w:tabs>
                <w:tab w:val="num" w:pos="360"/>
              </w:tabs>
              <w:ind w:left="0" w:right="200" w:hanging="142"/>
              <w:jc w:val="both"/>
              <w:outlineLvl w:val="1"/>
              <w:rPr>
                <w:rFonts w:ascii="Bookman Old Style" w:hAnsi="Bookman Old Style"/>
                <w:sz w:val="22"/>
                <w:szCs w:val="22"/>
              </w:rPr>
            </w:pPr>
            <w:r w:rsidRPr="00780580">
              <w:rPr>
                <w:rFonts w:ascii="Bookman Old Style" w:eastAsia="Calibri" w:hAnsi="Bookman Old Style" w:cs="Calibri"/>
                <w:b w:val="0"/>
                <w:sz w:val="22"/>
                <w:szCs w:val="22"/>
              </w:rPr>
              <w:t>Experimentos con clubes de cannabis.</w:t>
            </w:r>
          </w:p>
        </w:tc>
      </w:tr>
      <w:tr w:rsidR="007E2A01" w:rsidRPr="00780580" w:rsidTr="007E2A01">
        <w:trPr>
          <w:trHeight w:val="20"/>
        </w:trPr>
        <w:tc>
          <w:tcPr>
            <w:tcW w:w="9876" w:type="dxa"/>
            <w:gridSpan w:val="3"/>
            <w:shd w:val="clear" w:color="auto" w:fill="D9D9D9" w:themeFill="background1" w:themeFillShade="D9"/>
            <w:vAlign w:val="center"/>
          </w:tcPr>
          <w:p w:rsidR="007E2A01" w:rsidRPr="00780580" w:rsidRDefault="007E2A01" w:rsidP="007E2A01">
            <w:pPr>
              <w:jc w:val="center"/>
              <w:rPr>
                <w:rFonts w:ascii="Bookman Old Style" w:hAnsi="Bookman Old Style"/>
                <w:b/>
                <w:i/>
              </w:rPr>
            </w:pPr>
            <w:r w:rsidRPr="00780580">
              <w:rPr>
                <w:rFonts w:ascii="Bookman Old Style" w:hAnsi="Bookman Old Style"/>
                <w:b/>
                <w:i/>
              </w:rPr>
              <w:t>Establecimientos de venta</w:t>
            </w:r>
          </w:p>
        </w:tc>
      </w:tr>
      <w:tr w:rsidR="007E2A01" w:rsidRPr="00780580" w:rsidTr="007E2A01">
        <w:trPr>
          <w:trHeight w:val="20"/>
        </w:trPr>
        <w:tc>
          <w:tcPr>
            <w:tcW w:w="2978" w:type="dxa"/>
            <w:vAlign w:val="center"/>
          </w:tcPr>
          <w:p w:rsidR="007E2A01" w:rsidRPr="00780580" w:rsidRDefault="007E2A01" w:rsidP="007E2A01">
            <w:pPr>
              <w:pStyle w:val="Ttulo2"/>
              <w:widowControl/>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Farmacias acreditadas en el registro del IRCCA.</w:t>
            </w:r>
          </w:p>
          <w:p w:rsidR="007E2A01" w:rsidRPr="00780580" w:rsidRDefault="007E2A01" w:rsidP="007E2A01">
            <w:pPr>
              <w:pStyle w:val="Ttulo2"/>
              <w:widowControl/>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Clubes de cannabis registrados en el IRCCA.</w:t>
            </w:r>
          </w:p>
        </w:tc>
        <w:tc>
          <w:tcPr>
            <w:tcW w:w="4111" w:type="dxa"/>
            <w:vAlign w:val="center"/>
          </w:tcPr>
          <w:p w:rsidR="007E2A01" w:rsidRPr="00780580" w:rsidRDefault="007E2A01" w:rsidP="007E2A01">
            <w:pPr>
              <w:pStyle w:val="Ttulo2"/>
              <w:ind w:left="0"/>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Establecimientos con autorización</w:t>
            </w:r>
          </w:p>
        </w:tc>
        <w:tc>
          <w:tcPr>
            <w:tcW w:w="2787" w:type="dxa"/>
            <w:vAlign w:val="center"/>
          </w:tcPr>
          <w:p w:rsidR="007E2A01" w:rsidRPr="00780580" w:rsidRDefault="007E2A01" w:rsidP="007E2A01">
            <w:pPr>
              <w:pStyle w:val="Ttulo2"/>
              <w:widowControl/>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Clubes de Cannabis.</w:t>
            </w:r>
          </w:p>
          <w:p w:rsidR="007E2A01" w:rsidRPr="00780580" w:rsidRDefault="007E2A01" w:rsidP="007E2A01">
            <w:pPr>
              <w:pStyle w:val="Ttulo2"/>
              <w:widowControl/>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Establecimientos con licencias autorizadas.</w:t>
            </w:r>
          </w:p>
          <w:p w:rsidR="007E2A01" w:rsidRPr="00780580" w:rsidRDefault="007E2A01" w:rsidP="007E2A01">
            <w:pPr>
              <w:rPr>
                <w:rFonts w:ascii="Bookman Old Style" w:hAnsi="Bookman Old Style"/>
              </w:rPr>
            </w:pPr>
          </w:p>
          <w:p w:rsidR="007E2A01" w:rsidRPr="00780580" w:rsidRDefault="007E2A01" w:rsidP="007E2A01">
            <w:pPr>
              <w:rPr>
                <w:rFonts w:ascii="Bookman Old Style" w:hAnsi="Bookman Old Style"/>
              </w:rPr>
            </w:pPr>
          </w:p>
        </w:tc>
      </w:tr>
      <w:tr w:rsidR="007E2A01" w:rsidRPr="00780580" w:rsidTr="007E2A01">
        <w:trPr>
          <w:trHeight w:val="20"/>
        </w:trPr>
        <w:tc>
          <w:tcPr>
            <w:tcW w:w="9876" w:type="dxa"/>
            <w:gridSpan w:val="3"/>
            <w:shd w:val="clear" w:color="auto" w:fill="D9D9D9" w:themeFill="background1" w:themeFillShade="D9"/>
            <w:vAlign w:val="center"/>
          </w:tcPr>
          <w:p w:rsidR="007E2A01" w:rsidRPr="00780580" w:rsidRDefault="007E2A01" w:rsidP="007E2A01">
            <w:pPr>
              <w:jc w:val="center"/>
              <w:rPr>
                <w:rFonts w:ascii="Bookman Old Style" w:hAnsi="Bookman Old Style"/>
                <w:b/>
                <w:i/>
              </w:rPr>
            </w:pPr>
            <w:r w:rsidRPr="00780580">
              <w:rPr>
                <w:rFonts w:ascii="Bookman Old Style" w:hAnsi="Bookman Old Style"/>
                <w:b/>
                <w:i/>
              </w:rPr>
              <w:t>Edad permitida</w:t>
            </w:r>
          </w:p>
        </w:tc>
      </w:tr>
      <w:tr w:rsidR="007E2A01" w:rsidRPr="00780580" w:rsidTr="007E2A01">
        <w:trPr>
          <w:trHeight w:val="20"/>
        </w:trPr>
        <w:tc>
          <w:tcPr>
            <w:tcW w:w="2978" w:type="dxa"/>
            <w:vAlign w:val="center"/>
          </w:tcPr>
          <w:p w:rsidR="007E2A01" w:rsidRPr="00780580" w:rsidRDefault="007E2A01" w:rsidP="007E2A01">
            <w:pPr>
              <w:jc w:val="center"/>
              <w:rPr>
                <w:rFonts w:ascii="Bookman Old Style" w:hAnsi="Bookman Old Style"/>
              </w:rPr>
            </w:pPr>
            <w:r w:rsidRPr="00780580">
              <w:rPr>
                <w:rFonts w:ascii="Bookman Old Style" w:hAnsi="Bookman Old Style"/>
              </w:rPr>
              <w:t>18 años</w:t>
            </w:r>
          </w:p>
        </w:tc>
        <w:tc>
          <w:tcPr>
            <w:tcW w:w="4111" w:type="dxa"/>
            <w:vAlign w:val="center"/>
          </w:tcPr>
          <w:p w:rsidR="007E2A01" w:rsidRPr="00780580" w:rsidRDefault="007E2A01" w:rsidP="007E2A01">
            <w:pPr>
              <w:jc w:val="center"/>
              <w:rPr>
                <w:rFonts w:ascii="Bookman Old Style" w:hAnsi="Bookman Old Style"/>
              </w:rPr>
            </w:pPr>
            <w:r w:rsidRPr="00780580">
              <w:rPr>
                <w:rFonts w:ascii="Bookman Old Style" w:hAnsi="Bookman Old Style"/>
              </w:rPr>
              <w:t>21 años</w:t>
            </w:r>
          </w:p>
        </w:tc>
        <w:tc>
          <w:tcPr>
            <w:tcW w:w="2787" w:type="dxa"/>
            <w:vAlign w:val="center"/>
          </w:tcPr>
          <w:p w:rsidR="007E2A01" w:rsidRPr="00780580" w:rsidRDefault="007E2A01" w:rsidP="007E2A01">
            <w:pPr>
              <w:jc w:val="center"/>
              <w:rPr>
                <w:rFonts w:ascii="Bookman Old Style" w:hAnsi="Bookman Old Style"/>
              </w:rPr>
            </w:pPr>
            <w:r w:rsidRPr="00780580">
              <w:rPr>
                <w:rFonts w:ascii="Bookman Old Style" w:hAnsi="Bookman Old Style"/>
              </w:rPr>
              <w:t>18 a 21 años según la provincia</w:t>
            </w:r>
          </w:p>
        </w:tc>
      </w:tr>
      <w:tr w:rsidR="007E2A01" w:rsidRPr="00780580" w:rsidTr="007E2A01">
        <w:trPr>
          <w:trHeight w:val="20"/>
        </w:trPr>
        <w:tc>
          <w:tcPr>
            <w:tcW w:w="9876" w:type="dxa"/>
            <w:gridSpan w:val="3"/>
            <w:shd w:val="clear" w:color="auto" w:fill="D9D9D9" w:themeFill="background1" w:themeFillShade="D9"/>
            <w:vAlign w:val="center"/>
          </w:tcPr>
          <w:p w:rsidR="007E2A01" w:rsidRPr="00780580" w:rsidRDefault="007E2A01" w:rsidP="007E2A01">
            <w:pPr>
              <w:jc w:val="center"/>
              <w:rPr>
                <w:rFonts w:ascii="Bookman Old Style" w:hAnsi="Bookman Old Style"/>
              </w:rPr>
            </w:pPr>
            <w:r w:rsidRPr="00780580">
              <w:rPr>
                <w:rFonts w:ascii="Bookman Old Style" w:hAnsi="Bookman Old Style"/>
                <w:b/>
                <w:i/>
              </w:rPr>
              <w:t>Registro</w:t>
            </w:r>
          </w:p>
        </w:tc>
      </w:tr>
      <w:tr w:rsidR="007E2A01" w:rsidRPr="00780580" w:rsidTr="007E2A01">
        <w:trPr>
          <w:trHeight w:val="20"/>
        </w:trPr>
        <w:tc>
          <w:tcPr>
            <w:tcW w:w="2978" w:type="dxa"/>
            <w:vAlign w:val="center"/>
          </w:tcPr>
          <w:p w:rsidR="007E2A01" w:rsidRPr="00780580" w:rsidRDefault="007E2A01" w:rsidP="007E2A01">
            <w:pPr>
              <w:pStyle w:val="Ttulo2"/>
              <w:widowControl/>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Registro de cultivos en el IRCCA (Datos de carácter sensible).</w:t>
            </w:r>
          </w:p>
          <w:p w:rsidR="007E2A01" w:rsidRPr="00780580" w:rsidRDefault="007E2A01" w:rsidP="007E2A01">
            <w:pPr>
              <w:pStyle w:val="Ttulo2"/>
              <w:widowControl/>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Registro de personas usuarias y de integrantes de clubes (Datos de carácter sensible).</w:t>
            </w:r>
          </w:p>
        </w:tc>
        <w:tc>
          <w:tcPr>
            <w:tcW w:w="4111" w:type="dxa"/>
            <w:vAlign w:val="center"/>
          </w:tcPr>
          <w:p w:rsidR="007E2A01" w:rsidRPr="00780580" w:rsidRDefault="007E2A01" w:rsidP="007E2A01">
            <w:pPr>
              <w:jc w:val="both"/>
              <w:rPr>
                <w:rFonts w:ascii="Bookman Old Style" w:hAnsi="Bookman Old Style"/>
              </w:rPr>
            </w:pPr>
            <w:r w:rsidRPr="00780580">
              <w:rPr>
                <w:rFonts w:ascii="Bookman Old Style" w:eastAsia="Calibri" w:hAnsi="Bookman Old Style" w:cs="Calibri"/>
              </w:rPr>
              <w:t>No se permite según la ley, pero están obligados a instalar cámaras que registren la identidad de vendedor y comprador.</w:t>
            </w:r>
          </w:p>
        </w:tc>
        <w:tc>
          <w:tcPr>
            <w:tcW w:w="2787" w:type="dxa"/>
            <w:vAlign w:val="center"/>
          </w:tcPr>
          <w:p w:rsidR="007E2A01" w:rsidRPr="00780580" w:rsidRDefault="007E2A01" w:rsidP="007E2A01">
            <w:pPr>
              <w:pStyle w:val="Ttulo2"/>
              <w:widowControl/>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Registro de usuarios de clubes de cannabis.</w:t>
            </w:r>
          </w:p>
          <w:p w:rsidR="007E2A01" w:rsidRPr="00780580" w:rsidRDefault="007E2A01" w:rsidP="007E2A01">
            <w:pPr>
              <w:pStyle w:val="Ttulo2"/>
              <w:widowControl/>
              <w:numPr>
                <w:ilvl w:val="0"/>
                <w:numId w:val="29"/>
              </w:numPr>
              <w:tabs>
                <w:tab w:val="num" w:pos="360"/>
              </w:tabs>
              <w:ind w:left="0" w:right="200" w:hanging="142"/>
              <w:jc w:val="both"/>
              <w:outlineLvl w:val="1"/>
              <w:rPr>
                <w:rFonts w:ascii="Bookman Old Style" w:hAnsi="Bookman Old Style"/>
                <w:sz w:val="22"/>
                <w:szCs w:val="22"/>
              </w:rPr>
            </w:pPr>
            <w:r w:rsidRPr="00780580">
              <w:rPr>
                <w:rFonts w:ascii="Bookman Old Style" w:eastAsia="Calibri" w:hAnsi="Bookman Old Style" w:cs="Calibri"/>
                <w:b w:val="0"/>
                <w:sz w:val="22"/>
                <w:szCs w:val="22"/>
              </w:rPr>
              <w:t>Registro de usuarios de cannabis medicinal.</w:t>
            </w:r>
          </w:p>
        </w:tc>
      </w:tr>
      <w:tr w:rsidR="007E2A01" w:rsidRPr="00780580" w:rsidTr="007E2A01">
        <w:trPr>
          <w:trHeight w:val="20"/>
        </w:trPr>
        <w:tc>
          <w:tcPr>
            <w:tcW w:w="9876" w:type="dxa"/>
            <w:gridSpan w:val="3"/>
            <w:shd w:val="clear" w:color="auto" w:fill="D9D9D9" w:themeFill="background1" w:themeFillShade="D9"/>
            <w:vAlign w:val="center"/>
          </w:tcPr>
          <w:p w:rsidR="007E2A01" w:rsidRPr="00780580" w:rsidRDefault="007E2A01" w:rsidP="007E2A01">
            <w:pPr>
              <w:jc w:val="center"/>
              <w:rPr>
                <w:rFonts w:ascii="Bookman Old Style" w:hAnsi="Bookman Old Style"/>
                <w:b/>
                <w:i/>
              </w:rPr>
            </w:pPr>
            <w:r w:rsidRPr="00780580">
              <w:rPr>
                <w:rFonts w:ascii="Bookman Old Style" w:hAnsi="Bookman Old Style"/>
                <w:b/>
                <w:i/>
              </w:rPr>
              <w:t>Publicidad</w:t>
            </w:r>
          </w:p>
        </w:tc>
      </w:tr>
      <w:tr w:rsidR="007E2A01" w:rsidRPr="00780580" w:rsidTr="007E2A01">
        <w:trPr>
          <w:trHeight w:val="20"/>
        </w:trPr>
        <w:tc>
          <w:tcPr>
            <w:tcW w:w="2978" w:type="dxa"/>
            <w:vAlign w:val="center"/>
          </w:tcPr>
          <w:p w:rsidR="007E2A01" w:rsidRPr="00780580" w:rsidRDefault="007E2A01" w:rsidP="007E2A01">
            <w:pPr>
              <w:jc w:val="center"/>
              <w:rPr>
                <w:rFonts w:ascii="Bookman Old Style" w:hAnsi="Bookman Old Style"/>
              </w:rPr>
            </w:pPr>
            <w:r w:rsidRPr="00780580">
              <w:rPr>
                <w:rFonts w:ascii="Bookman Old Style" w:hAnsi="Bookman Old Style"/>
              </w:rPr>
              <w:t>Prohibida</w:t>
            </w:r>
          </w:p>
        </w:tc>
        <w:tc>
          <w:tcPr>
            <w:tcW w:w="4111" w:type="dxa"/>
            <w:vAlign w:val="center"/>
          </w:tcPr>
          <w:p w:rsidR="007E2A01" w:rsidRPr="00780580" w:rsidRDefault="007E2A01" w:rsidP="007E2A01">
            <w:pPr>
              <w:jc w:val="center"/>
              <w:rPr>
                <w:rFonts w:ascii="Bookman Old Style" w:hAnsi="Bookman Old Style"/>
              </w:rPr>
            </w:pPr>
            <w:r w:rsidRPr="00780580">
              <w:rPr>
                <w:rFonts w:ascii="Bookman Old Style" w:hAnsi="Bookman Old Style"/>
              </w:rPr>
              <w:t>Regulada</w:t>
            </w:r>
          </w:p>
        </w:tc>
        <w:tc>
          <w:tcPr>
            <w:tcW w:w="2787" w:type="dxa"/>
            <w:vAlign w:val="center"/>
          </w:tcPr>
          <w:p w:rsidR="007E2A01" w:rsidRPr="00780580" w:rsidRDefault="007E2A01" w:rsidP="007E2A01">
            <w:pPr>
              <w:jc w:val="center"/>
              <w:rPr>
                <w:rFonts w:ascii="Bookman Old Style" w:hAnsi="Bookman Old Style"/>
              </w:rPr>
            </w:pPr>
            <w:r w:rsidRPr="00780580">
              <w:rPr>
                <w:rFonts w:ascii="Bookman Old Style" w:hAnsi="Bookman Old Style"/>
              </w:rPr>
              <w:t>Prohibida</w:t>
            </w:r>
          </w:p>
        </w:tc>
      </w:tr>
      <w:tr w:rsidR="007E2A01" w:rsidRPr="00780580" w:rsidTr="007E2A01">
        <w:trPr>
          <w:trHeight w:val="20"/>
        </w:trPr>
        <w:tc>
          <w:tcPr>
            <w:tcW w:w="9876" w:type="dxa"/>
            <w:gridSpan w:val="3"/>
            <w:shd w:val="clear" w:color="auto" w:fill="D9D9D9" w:themeFill="background1" w:themeFillShade="D9"/>
            <w:vAlign w:val="center"/>
          </w:tcPr>
          <w:p w:rsidR="007E2A01" w:rsidRPr="00780580" w:rsidRDefault="007E2A01" w:rsidP="007E2A01">
            <w:pPr>
              <w:jc w:val="center"/>
              <w:rPr>
                <w:rFonts w:ascii="Bookman Old Style" w:hAnsi="Bookman Old Style"/>
                <w:b/>
                <w:i/>
              </w:rPr>
            </w:pPr>
            <w:r w:rsidRPr="00780580">
              <w:rPr>
                <w:rFonts w:ascii="Bookman Old Style" w:hAnsi="Bookman Old Style"/>
                <w:b/>
                <w:i/>
              </w:rPr>
              <w:t>Fiscalidad</w:t>
            </w:r>
          </w:p>
        </w:tc>
      </w:tr>
      <w:tr w:rsidR="007E2A01" w:rsidRPr="00780580" w:rsidTr="007E2A01">
        <w:trPr>
          <w:trHeight w:val="20"/>
        </w:trPr>
        <w:tc>
          <w:tcPr>
            <w:tcW w:w="2978" w:type="dxa"/>
            <w:vAlign w:val="center"/>
          </w:tcPr>
          <w:p w:rsidR="007E2A01" w:rsidRPr="00780580" w:rsidRDefault="007E2A01" w:rsidP="007E2A01">
            <w:pPr>
              <w:pStyle w:val="Ttulo2"/>
              <w:ind w:left="0" w:right="200"/>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Precio de licencia + 20% IVA en suspenso (no se traslada al precio final de venta al público).</w:t>
            </w:r>
          </w:p>
        </w:tc>
        <w:tc>
          <w:tcPr>
            <w:tcW w:w="4111" w:type="dxa"/>
            <w:vAlign w:val="center"/>
          </w:tcPr>
          <w:p w:rsidR="007E2A01" w:rsidRPr="00780580" w:rsidRDefault="007E2A01" w:rsidP="007E2A01">
            <w:pPr>
              <w:pStyle w:val="Ttulo2"/>
              <w:widowControl/>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Impuestos municipales (variables)</w:t>
            </w:r>
          </w:p>
          <w:p w:rsidR="007E2A01" w:rsidRPr="00780580" w:rsidRDefault="007E2A01" w:rsidP="007E2A01">
            <w:pPr>
              <w:pStyle w:val="Ttulo2"/>
              <w:widowControl/>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Impuestos indirectos</w:t>
            </w:r>
          </w:p>
          <w:p w:rsidR="007E2A01" w:rsidRPr="00780580" w:rsidRDefault="007E2A01" w:rsidP="007E2A01">
            <w:pPr>
              <w:pStyle w:val="Ttulo2"/>
              <w:widowControl/>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w:t>
            </w:r>
            <w:r w:rsidRPr="00780580">
              <w:rPr>
                <w:rFonts w:ascii="Bookman Old Style" w:eastAsia="Calibri" w:hAnsi="Bookman Old Style" w:cs="Calibri"/>
                <w:b w:val="0"/>
                <w:i/>
                <w:sz w:val="22"/>
                <w:szCs w:val="22"/>
              </w:rPr>
              <w:t>Excise taxes):</w:t>
            </w:r>
            <w:r w:rsidRPr="00780580">
              <w:rPr>
                <w:rFonts w:ascii="Bookman Old Style" w:eastAsia="Calibri" w:hAnsi="Bookman Old Style" w:cs="Calibri"/>
                <w:b w:val="0"/>
                <w:sz w:val="22"/>
                <w:szCs w:val="22"/>
              </w:rPr>
              <w:t xml:space="preserve"> 15% IVA especial</w:t>
            </w:r>
          </w:p>
          <w:p w:rsidR="007E2A01" w:rsidRPr="00780580" w:rsidRDefault="007E2A01" w:rsidP="007E2A01">
            <w:pPr>
              <w:pStyle w:val="Ttulo2"/>
              <w:widowControl/>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i/>
                <w:sz w:val="22"/>
                <w:szCs w:val="22"/>
              </w:rPr>
              <w:t>(Sales tax):</w:t>
            </w:r>
            <w:r w:rsidRPr="00780580">
              <w:rPr>
                <w:rFonts w:ascii="Bookman Old Style" w:eastAsia="Calibri" w:hAnsi="Bookman Old Style" w:cs="Calibri"/>
                <w:b w:val="0"/>
                <w:sz w:val="22"/>
                <w:szCs w:val="22"/>
              </w:rPr>
              <w:t xml:space="preserve"> 10%</w:t>
            </w:r>
          </w:p>
          <w:p w:rsidR="007E2A01" w:rsidRPr="00780580" w:rsidRDefault="007E2A01" w:rsidP="007E2A01">
            <w:pPr>
              <w:pStyle w:val="Ttulo2"/>
              <w:widowControl/>
              <w:numPr>
                <w:ilvl w:val="0"/>
                <w:numId w:val="29"/>
              </w:numPr>
              <w:tabs>
                <w:tab w:val="num" w:pos="360"/>
              </w:tabs>
              <w:ind w:left="0" w:right="200" w:hanging="142"/>
              <w:jc w:val="both"/>
              <w:outlineLvl w:val="1"/>
              <w:rPr>
                <w:rFonts w:ascii="Bookman Old Style" w:hAnsi="Bookman Old Style"/>
                <w:sz w:val="22"/>
                <w:szCs w:val="22"/>
              </w:rPr>
            </w:pPr>
            <w:r w:rsidRPr="00780580">
              <w:rPr>
                <w:rFonts w:ascii="Bookman Old Style" w:eastAsia="Calibri" w:hAnsi="Bookman Old Style" w:cs="Calibri"/>
                <w:b w:val="0"/>
                <w:sz w:val="22"/>
                <w:szCs w:val="22"/>
              </w:rPr>
              <w:t>IVA estatal: 2,9%</w:t>
            </w:r>
          </w:p>
        </w:tc>
        <w:tc>
          <w:tcPr>
            <w:tcW w:w="2787" w:type="dxa"/>
            <w:vAlign w:val="center"/>
          </w:tcPr>
          <w:p w:rsidR="007E2A01" w:rsidRPr="00780580" w:rsidRDefault="007E2A01" w:rsidP="007E2A01">
            <w:pPr>
              <w:rPr>
                <w:rFonts w:ascii="Bookman Old Style" w:hAnsi="Bookman Old Style"/>
              </w:rPr>
            </w:pPr>
            <w:r w:rsidRPr="00780580">
              <w:rPr>
                <w:rFonts w:ascii="Bookman Old Style" w:hAnsi="Bookman Old Style"/>
              </w:rPr>
              <w:t>Existen dos tipos de impuestos:</w:t>
            </w:r>
          </w:p>
          <w:p w:rsidR="007E2A01" w:rsidRPr="00780580" w:rsidRDefault="007E2A01" w:rsidP="007E2A01">
            <w:pPr>
              <w:jc w:val="center"/>
              <w:rPr>
                <w:rFonts w:ascii="Bookman Old Style" w:hAnsi="Bookman Old Style"/>
              </w:rPr>
            </w:pPr>
          </w:p>
          <w:p w:rsidR="007E2A01" w:rsidRPr="00780580" w:rsidRDefault="007E2A01" w:rsidP="007E2A01">
            <w:pPr>
              <w:pStyle w:val="Ttulo2"/>
              <w:widowControl/>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Nacional. Se implementa un impuesto consistente en el pago de 1 dólar canadiense por gramo o del 10% del precio de venta final, dependiendo de cuál sea el más elevado.</w:t>
            </w:r>
          </w:p>
          <w:p w:rsidR="007E2A01" w:rsidRPr="00780580" w:rsidRDefault="007E2A01" w:rsidP="007E2A01">
            <w:pPr>
              <w:jc w:val="center"/>
              <w:rPr>
                <w:rFonts w:ascii="Bookman Old Style" w:hAnsi="Bookman Old Style"/>
              </w:rPr>
            </w:pPr>
          </w:p>
          <w:p w:rsidR="007E2A01" w:rsidRPr="00780580" w:rsidRDefault="007E2A01" w:rsidP="007E2A01">
            <w:pPr>
              <w:pStyle w:val="Ttulo2"/>
              <w:widowControl/>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Provincial. Se implementa el impuesto de venta de cualquier producto que varía entre el 13 y el 15%.</w:t>
            </w:r>
          </w:p>
        </w:tc>
      </w:tr>
      <w:tr w:rsidR="007E2A01" w:rsidRPr="00780580" w:rsidTr="007E2A01">
        <w:trPr>
          <w:trHeight w:val="20"/>
        </w:trPr>
        <w:tc>
          <w:tcPr>
            <w:tcW w:w="9876" w:type="dxa"/>
            <w:gridSpan w:val="3"/>
            <w:shd w:val="clear" w:color="auto" w:fill="D9D9D9" w:themeFill="background1" w:themeFillShade="D9"/>
            <w:vAlign w:val="center"/>
          </w:tcPr>
          <w:p w:rsidR="007E2A01" w:rsidRPr="00780580" w:rsidRDefault="007E2A01" w:rsidP="007E2A01">
            <w:pPr>
              <w:jc w:val="center"/>
              <w:rPr>
                <w:rFonts w:ascii="Bookman Old Style" w:hAnsi="Bookman Old Style"/>
                <w:b/>
                <w:i/>
              </w:rPr>
            </w:pPr>
            <w:r w:rsidRPr="00780580">
              <w:rPr>
                <w:rFonts w:ascii="Bookman Old Style" w:hAnsi="Bookman Old Style"/>
                <w:b/>
                <w:i/>
              </w:rPr>
              <w:t>Destinación de recursos recaudados</w:t>
            </w:r>
          </w:p>
        </w:tc>
      </w:tr>
      <w:tr w:rsidR="007E2A01" w:rsidRPr="00780580" w:rsidTr="007E2A01">
        <w:trPr>
          <w:trHeight w:val="20"/>
        </w:trPr>
        <w:tc>
          <w:tcPr>
            <w:tcW w:w="2978" w:type="dxa"/>
            <w:vAlign w:val="center"/>
          </w:tcPr>
          <w:p w:rsidR="007E2A01" w:rsidRPr="00780580" w:rsidRDefault="007E2A01" w:rsidP="007E2A01">
            <w:pPr>
              <w:jc w:val="both"/>
              <w:rPr>
                <w:rFonts w:ascii="Bookman Old Style" w:hAnsi="Bookman Old Style"/>
              </w:rPr>
            </w:pPr>
            <w:r w:rsidRPr="00780580">
              <w:rPr>
                <w:rFonts w:ascii="Bookman Old Style" w:eastAsia="Calibri" w:hAnsi="Bookman Old Style" w:cs="Calibri"/>
              </w:rPr>
              <w:t xml:space="preserve">Sistema educativo y </w:t>
            </w:r>
            <w:r w:rsidRPr="00780580">
              <w:rPr>
                <w:rFonts w:ascii="Bookman Old Style" w:eastAsia="Calibri" w:hAnsi="Bookman Old Style" w:cs="Calibri"/>
              </w:rPr>
              <w:lastRenderedPageBreak/>
              <w:t>Sistema de salud.</w:t>
            </w:r>
          </w:p>
        </w:tc>
        <w:tc>
          <w:tcPr>
            <w:tcW w:w="4111" w:type="dxa"/>
            <w:vAlign w:val="center"/>
          </w:tcPr>
          <w:p w:rsidR="007E2A01" w:rsidRPr="00780580" w:rsidRDefault="007E2A01" w:rsidP="007E2A01">
            <w:pPr>
              <w:pStyle w:val="Ttulo2"/>
              <w:ind w:left="0" w:right="200"/>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lastRenderedPageBreak/>
              <w:t>Impuestos indirectos.</w:t>
            </w:r>
          </w:p>
          <w:p w:rsidR="007E2A01" w:rsidRPr="00780580" w:rsidRDefault="007E2A01" w:rsidP="007E2A01">
            <w:pPr>
              <w:pStyle w:val="Ttulo2"/>
              <w:widowControl/>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lastRenderedPageBreak/>
              <w:t>Primeros 40 millones van a Fondo para la construcción de escuelas. Después de los 40 millones se destinan a Fondo de Efectivo de Marihuana (</w:t>
            </w:r>
            <w:r w:rsidRPr="00780580">
              <w:rPr>
                <w:rFonts w:ascii="Bookman Old Style" w:eastAsia="Calibri" w:hAnsi="Bookman Old Style" w:cs="Calibri"/>
                <w:b w:val="0"/>
                <w:i/>
                <w:sz w:val="22"/>
                <w:szCs w:val="22"/>
              </w:rPr>
              <w:t>Marihuana Cash Fund</w:t>
            </w:r>
            <w:r w:rsidRPr="00780580">
              <w:rPr>
                <w:rFonts w:ascii="Bookman Old Style" w:eastAsia="Calibri" w:hAnsi="Bookman Old Style" w:cs="Calibri"/>
                <w:b w:val="0"/>
                <w:sz w:val="22"/>
                <w:szCs w:val="22"/>
              </w:rPr>
              <w:t>).</w:t>
            </w:r>
          </w:p>
        </w:tc>
        <w:tc>
          <w:tcPr>
            <w:tcW w:w="2787" w:type="dxa"/>
            <w:vAlign w:val="center"/>
          </w:tcPr>
          <w:p w:rsidR="007E2A01" w:rsidRPr="00780580" w:rsidRDefault="007E2A01" w:rsidP="007E2A01">
            <w:pPr>
              <w:jc w:val="both"/>
              <w:rPr>
                <w:rFonts w:ascii="Bookman Old Style" w:hAnsi="Bookman Old Style"/>
              </w:rPr>
            </w:pPr>
            <w:r w:rsidRPr="00780580">
              <w:rPr>
                <w:rFonts w:ascii="Bookman Old Style" w:hAnsi="Bookman Old Style"/>
              </w:rPr>
              <w:lastRenderedPageBreak/>
              <w:t xml:space="preserve">No se ha establecido </w:t>
            </w:r>
            <w:r w:rsidRPr="00780580">
              <w:rPr>
                <w:rFonts w:ascii="Bookman Old Style" w:hAnsi="Bookman Old Style"/>
              </w:rPr>
              <w:lastRenderedPageBreak/>
              <w:t>destinación específica.</w:t>
            </w:r>
          </w:p>
        </w:tc>
      </w:tr>
      <w:tr w:rsidR="007E2A01" w:rsidRPr="00780580" w:rsidTr="007E2A01">
        <w:trPr>
          <w:trHeight w:val="20"/>
        </w:trPr>
        <w:tc>
          <w:tcPr>
            <w:tcW w:w="9876" w:type="dxa"/>
            <w:gridSpan w:val="3"/>
            <w:shd w:val="clear" w:color="auto" w:fill="D9D9D9" w:themeFill="background1" w:themeFillShade="D9"/>
            <w:vAlign w:val="center"/>
          </w:tcPr>
          <w:p w:rsidR="007E2A01" w:rsidRPr="00780580" w:rsidRDefault="007E2A01" w:rsidP="007E2A01">
            <w:pPr>
              <w:jc w:val="center"/>
              <w:rPr>
                <w:rFonts w:ascii="Bookman Old Style" w:hAnsi="Bookman Old Style"/>
                <w:b/>
                <w:i/>
              </w:rPr>
            </w:pPr>
            <w:r w:rsidRPr="00780580">
              <w:rPr>
                <w:rFonts w:ascii="Bookman Old Style" w:hAnsi="Bookman Old Style"/>
                <w:b/>
                <w:i/>
              </w:rPr>
              <w:lastRenderedPageBreak/>
              <w:t>Prevención</w:t>
            </w:r>
          </w:p>
        </w:tc>
      </w:tr>
      <w:tr w:rsidR="007E2A01" w:rsidRPr="00780580" w:rsidTr="007E2A01">
        <w:trPr>
          <w:trHeight w:val="20"/>
        </w:trPr>
        <w:tc>
          <w:tcPr>
            <w:tcW w:w="2978" w:type="dxa"/>
            <w:vAlign w:val="center"/>
          </w:tcPr>
          <w:p w:rsidR="007E2A01" w:rsidRPr="00780580" w:rsidRDefault="007E2A01" w:rsidP="007E2A01">
            <w:pPr>
              <w:jc w:val="both"/>
              <w:rPr>
                <w:rFonts w:ascii="Bookman Old Style" w:hAnsi="Bookman Old Style"/>
              </w:rPr>
            </w:pPr>
            <w:r w:rsidRPr="00780580">
              <w:rPr>
                <w:rFonts w:ascii="Bookman Old Style" w:eastAsia="Calibri" w:hAnsi="Bookman Old Style" w:cs="Calibri"/>
              </w:rPr>
              <w:t>Disciplina obligatoria en el Sistema Nacional de Educación Pública.</w:t>
            </w:r>
          </w:p>
        </w:tc>
        <w:tc>
          <w:tcPr>
            <w:tcW w:w="4111" w:type="dxa"/>
            <w:vAlign w:val="center"/>
          </w:tcPr>
          <w:p w:rsidR="007E2A01" w:rsidRPr="00780580" w:rsidRDefault="007E2A01" w:rsidP="007E2A01">
            <w:pPr>
              <w:jc w:val="both"/>
              <w:rPr>
                <w:rFonts w:ascii="Bookman Old Style" w:hAnsi="Bookman Old Style"/>
              </w:rPr>
            </w:pPr>
            <w:r w:rsidRPr="00780580">
              <w:rPr>
                <w:rFonts w:ascii="Bookman Old Style" w:eastAsia="Calibri" w:hAnsi="Bookman Old Style" w:cs="Calibri"/>
              </w:rPr>
              <w:t>Integrada en los programas de prevención de alcohol, tabaco, drogas ilegalizadas y otras sustancias.</w:t>
            </w:r>
          </w:p>
        </w:tc>
        <w:tc>
          <w:tcPr>
            <w:tcW w:w="2787" w:type="dxa"/>
            <w:vAlign w:val="center"/>
          </w:tcPr>
          <w:p w:rsidR="007E2A01" w:rsidRPr="00780580" w:rsidRDefault="007E2A01" w:rsidP="007E2A01">
            <w:pPr>
              <w:jc w:val="both"/>
              <w:rPr>
                <w:rFonts w:ascii="Bookman Old Style" w:hAnsi="Bookman Old Style"/>
              </w:rPr>
            </w:pPr>
            <w:r w:rsidRPr="00780580">
              <w:rPr>
                <w:rFonts w:ascii="Bookman Old Style" w:hAnsi="Bookman Old Style"/>
              </w:rPr>
              <w:t>Programas dirigidos por el Ministerio de Salud canadiense en la prevención y uso responsable de las sustancias psicoactivas.</w:t>
            </w:r>
          </w:p>
        </w:tc>
      </w:tr>
    </w:tbl>
    <w:p w:rsidR="007E2A01" w:rsidRPr="006127F0" w:rsidRDefault="007E2A01" w:rsidP="007E2A01">
      <w:pPr>
        <w:ind w:left="-426"/>
        <w:rPr>
          <w:rFonts w:ascii="Bookman Old Style" w:eastAsia="Calibri" w:hAnsi="Bookman Old Style" w:cs="Calibri"/>
          <w:i/>
          <w:iCs/>
          <w:sz w:val="20"/>
          <w:szCs w:val="20"/>
        </w:rPr>
      </w:pPr>
    </w:p>
    <w:p w:rsidR="007E2A01" w:rsidRPr="00780580" w:rsidRDefault="007E2A01" w:rsidP="007E2A01">
      <w:pPr>
        <w:ind w:left="-426"/>
        <w:rPr>
          <w:rFonts w:ascii="Bookman Old Style" w:eastAsia="Calibri" w:hAnsi="Bookman Old Style" w:cs="Calibri"/>
        </w:rPr>
      </w:pPr>
    </w:p>
    <w:p w:rsidR="007E2A01" w:rsidRPr="00780580" w:rsidRDefault="007E2A01" w:rsidP="007E2A01">
      <w:pPr>
        <w:jc w:val="center"/>
        <w:rPr>
          <w:rFonts w:ascii="Bookman Old Style" w:eastAsia="Calibri" w:hAnsi="Bookman Old Style"/>
          <w:b/>
        </w:rPr>
      </w:pPr>
      <w:r w:rsidRPr="00780580">
        <w:rPr>
          <w:rFonts w:ascii="Bookman Old Style" w:eastAsia="Calibri" w:hAnsi="Bookman Old Style"/>
          <w:b/>
        </w:rPr>
        <w:t xml:space="preserve">Tabla 2. </w:t>
      </w:r>
    </w:p>
    <w:p w:rsidR="007E2A01" w:rsidRPr="00780580" w:rsidRDefault="007E2A01" w:rsidP="007E2A01">
      <w:pPr>
        <w:jc w:val="center"/>
        <w:rPr>
          <w:rFonts w:ascii="Bookman Old Style" w:eastAsia="Calibri" w:hAnsi="Bookman Old Style"/>
          <w:b/>
        </w:rPr>
      </w:pPr>
      <w:r w:rsidRPr="00780580">
        <w:rPr>
          <w:rFonts w:ascii="Bookman Old Style" w:eastAsia="Calibri" w:hAnsi="Bookman Old Style"/>
          <w:b/>
        </w:rPr>
        <w:t>Medidas implementadas</w:t>
      </w:r>
    </w:p>
    <w:tbl>
      <w:tblPr>
        <w:tblStyle w:val="Tablaconcuadrcula"/>
        <w:tblW w:w="9924" w:type="dxa"/>
        <w:tblInd w:w="-431" w:type="dxa"/>
        <w:tblLook w:val="04A0" w:firstRow="1" w:lastRow="0" w:firstColumn="1" w:lastColumn="0" w:noHBand="0" w:noVBand="1"/>
      </w:tblPr>
      <w:tblGrid>
        <w:gridCol w:w="5104"/>
        <w:gridCol w:w="4820"/>
      </w:tblGrid>
      <w:tr w:rsidR="007E2A01" w:rsidRPr="00780580" w:rsidTr="007E2A01">
        <w:trPr>
          <w:trHeight w:val="305"/>
        </w:trPr>
        <w:tc>
          <w:tcPr>
            <w:tcW w:w="5104" w:type="dxa"/>
            <w:shd w:val="clear" w:color="auto" w:fill="BFBFBF" w:themeFill="background1" w:themeFillShade="BF"/>
          </w:tcPr>
          <w:p w:rsidR="007E2A01" w:rsidRPr="00780580" w:rsidRDefault="007E2A01" w:rsidP="007E2A01">
            <w:pPr>
              <w:jc w:val="center"/>
              <w:rPr>
                <w:rFonts w:ascii="Bookman Old Style" w:hAnsi="Bookman Old Style" w:cstheme="majorHAnsi"/>
                <w:b/>
              </w:rPr>
            </w:pPr>
            <w:r w:rsidRPr="00780580">
              <w:rPr>
                <w:rFonts w:ascii="Bookman Old Style" w:hAnsi="Bookman Old Style" w:cstheme="majorHAnsi"/>
                <w:b/>
              </w:rPr>
              <w:t>URUGUAY</w:t>
            </w:r>
          </w:p>
        </w:tc>
        <w:tc>
          <w:tcPr>
            <w:tcW w:w="4820" w:type="dxa"/>
            <w:shd w:val="clear" w:color="auto" w:fill="BFBFBF" w:themeFill="background1" w:themeFillShade="BF"/>
          </w:tcPr>
          <w:p w:rsidR="007E2A01" w:rsidRPr="00780580" w:rsidRDefault="007E2A01" w:rsidP="007E2A01">
            <w:pPr>
              <w:jc w:val="center"/>
              <w:rPr>
                <w:rFonts w:ascii="Bookman Old Style" w:hAnsi="Bookman Old Style" w:cstheme="majorHAnsi"/>
                <w:b/>
              </w:rPr>
            </w:pPr>
            <w:r w:rsidRPr="00780580">
              <w:rPr>
                <w:rFonts w:ascii="Bookman Old Style" w:hAnsi="Bookman Old Style" w:cstheme="majorHAnsi"/>
                <w:b/>
              </w:rPr>
              <w:t>COLORADO - EEUU</w:t>
            </w:r>
          </w:p>
        </w:tc>
      </w:tr>
      <w:tr w:rsidR="007E2A01" w:rsidRPr="00780580" w:rsidTr="007E2A01">
        <w:trPr>
          <w:trHeight w:val="288"/>
        </w:trPr>
        <w:tc>
          <w:tcPr>
            <w:tcW w:w="5104" w:type="dxa"/>
          </w:tcPr>
          <w:p w:rsidR="007E2A01" w:rsidRPr="00780580" w:rsidRDefault="007E2A01" w:rsidP="007E2A01">
            <w:pPr>
              <w:jc w:val="both"/>
              <w:rPr>
                <w:rFonts w:ascii="Bookman Old Style" w:hAnsi="Bookman Old Style" w:cstheme="majorHAnsi"/>
              </w:rPr>
            </w:pPr>
            <w:r w:rsidRPr="00780580">
              <w:rPr>
                <w:rFonts w:ascii="Bookman Old Style" w:eastAsia="Calibri" w:hAnsi="Bookman Old Style" w:cstheme="majorHAnsi"/>
              </w:rPr>
              <w:t>Regulación ley.</w:t>
            </w:r>
          </w:p>
        </w:tc>
        <w:tc>
          <w:tcPr>
            <w:tcW w:w="4820" w:type="dxa"/>
          </w:tcPr>
          <w:p w:rsidR="007E2A01" w:rsidRPr="00780580" w:rsidRDefault="007E2A01" w:rsidP="007E2A01">
            <w:pPr>
              <w:jc w:val="both"/>
              <w:rPr>
                <w:rFonts w:ascii="Bookman Old Style" w:hAnsi="Bookman Old Style" w:cstheme="majorHAnsi"/>
              </w:rPr>
            </w:pPr>
            <w:r w:rsidRPr="00780580">
              <w:rPr>
                <w:rFonts w:ascii="Bookman Old Style" w:eastAsia="Calibri" w:hAnsi="Bookman Old Style" w:cstheme="majorHAnsi"/>
              </w:rPr>
              <w:t>Regulación de delitos cannabis</w:t>
            </w:r>
          </w:p>
        </w:tc>
      </w:tr>
      <w:tr w:rsidR="007E2A01" w:rsidRPr="00780580" w:rsidTr="007E2A01">
        <w:trPr>
          <w:trHeight w:val="305"/>
        </w:trPr>
        <w:tc>
          <w:tcPr>
            <w:tcW w:w="5104" w:type="dxa"/>
          </w:tcPr>
          <w:p w:rsidR="007E2A01" w:rsidRPr="00780580" w:rsidRDefault="007E2A01" w:rsidP="007E2A01">
            <w:pPr>
              <w:jc w:val="both"/>
              <w:rPr>
                <w:rFonts w:ascii="Bookman Old Style" w:hAnsi="Bookman Old Style" w:cstheme="majorHAnsi"/>
              </w:rPr>
            </w:pPr>
            <w:r w:rsidRPr="00780580">
              <w:rPr>
                <w:rFonts w:ascii="Bookman Old Style" w:eastAsia="Calibri" w:hAnsi="Bookman Old Style" w:cstheme="majorHAnsi"/>
              </w:rPr>
              <w:t>Puesta en marcha de Sistemas de monitoreo y evaluación de la implementación de la ley</w:t>
            </w:r>
          </w:p>
        </w:tc>
        <w:tc>
          <w:tcPr>
            <w:tcW w:w="4820" w:type="dxa"/>
          </w:tcPr>
          <w:p w:rsidR="007E2A01" w:rsidRPr="00780580" w:rsidRDefault="007E2A01" w:rsidP="007E2A01">
            <w:pPr>
              <w:jc w:val="both"/>
              <w:rPr>
                <w:rFonts w:ascii="Bookman Old Style" w:hAnsi="Bookman Old Style" w:cstheme="majorHAnsi"/>
              </w:rPr>
            </w:pPr>
            <w:r w:rsidRPr="00780580">
              <w:rPr>
                <w:rFonts w:ascii="Bookman Old Style" w:eastAsia="Calibri" w:hAnsi="Bookman Old Style" w:cstheme="majorHAnsi"/>
              </w:rPr>
              <w:t>Regulación de establecimientos</w:t>
            </w:r>
          </w:p>
        </w:tc>
      </w:tr>
      <w:tr w:rsidR="007E2A01" w:rsidRPr="00780580" w:rsidTr="007E2A01">
        <w:trPr>
          <w:trHeight w:val="288"/>
        </w:trPr>
        <w:tc>
          <w:tcPr>
            <w:tcW w:w="5104" w:type="dxa"/>
          </w:tcPr>
          <w:p w:rsidR="007E2A01" w:rsidRPr="00780580" w:rsidRDefault="007E2A01" w:rsidP="007E2A01">
            <w:pPr>
              <w:jc w:val="both"/>
              <w:rPr>
                <w:rFonts w:ascii="Bookman Old Style" w:hAnsi="Bookman Old Style" w:cstheme="majorHAnsi"/>
              </w:rPr>
            </w:pPr>
            <w:r w:rsidRPr="00780580">
              <w:rPr>
                <w:rFonts w:ascii="Bookman Old Style" w:eastAsia="Calibri" w:hAnsi="Bookman Old Style" w:cstheme="majorHAnsi"/>
              </w:rPr>
              <w:t>Formación fuerzas seguridad aduanas</w:t>
            </w:r>
          </w:p>
        </w:tc>
        <w:tc>
          <w:tcPr>
            <w:tcW w:w="4820" w:type="dxa"/>
          </w:tcPr>
          <w:p w:rsidR="007E2A01" w:rsidRPr="00780580" w:rsidRDefault="007E2A01" w:rsidP="007E2A01">
            <w:pPr>
              <w:jc w:val="both"/>
              <w:rPr>
                <w:rFonts w:ascii="Bookman Old Style" w:hAnsi="Bookman Old Style" w:cstheme="majorHAnsi"/>
              </w:rPr>
            </w:pPr>
            <w:r w:rsidRPr="00780580">
              <w:rPr>
                <w:rFonts w:ascii="Bookman Old Style" w:eastAsia="Calibri" w:hAnsi="Bookman Old Style" w:cstheme="majorHAnsi"/>
              </w:rPr>
              <w:t>Regulación de impuestos</w:t>
            </w:r>
          </w:p>
        </w:tc>
      </w:tr>
      <w:tr w:rsidR="007E2A01" w:rsidRPr="00780580" w:rsidTr="007E2A01">
        <w:trPr>
          <w:trHeight w:val="305"/>
        </w:trPr>
        <w:tc>
          <w:tcPr>
            <w:tcW w:w="5104" w:type="dxa"/>
          </w:tcPr>
          <w:p w:rsidR="007E2A01" w:rsidRPr="00780580" w:rsidRDefault="007E2A01" w:rsidP="007E2A01">
            <w:pPr>
              <w:jc w:val="both"/>
              <w:rPr>
                <w:rFonts w:ascii="Bookman Old Style" w:hAnsi="Bookman Old Style" w:cstheme="majorHAnsi"/>
              </w:rPr>
            </w:pPr>
            <w:r w:rsidRPr="00780580">
              <w:rPr>
                <w:rFonts w:ascii="Bookman Old Style" w:eastAsia="Calibri" w:hAnsi="Bookman Old Style" w:cstheme="majorHAnsi"/>
              </w:rPr>
              <w:t>Creación programa de capacitación especializada en política de drogas y carrera especializada en políticas de drogas.</w:t>
            </w:r>
          </w:p>
        </w:tc>
        <w:tc>
          <w:tcPr>
            <w:tcW w:w="4820" w:type="dxa"/>
          </w:tcPr>
          <w:p w:rsidR="007E2A01" w:rsidRPr="00780580" w:rsidRDefault="007E2A01" w:rsidP="007E2A01">
            <w:pPr>
              <w:jc w:val="both"/>
              <w:rPr>
                <w:rFonts w:ascii="Bookman Old Style" w:hAnsi="Bookman Old Style" w:cstheme="majorHAnsi"/>
              </w:rPr>
            </w:pPr>
            <w:r w:rsidRPr="00780580">
              <w:rPr>
                <w:rFonts w:ascii="Bookman Old Style" w:eastAsia="Calibri" w:hAnsi="Bookman Old Style" w:cstheme="majorHAnsi"/>
              </w:rPr>
              <w:t>Regulación de penas por conducir bajo efectos cannabis</w:t>
            </w:r>
          </w:p>
        </w:tc>
      </w:tr>
      <w:tr w:rsidR="007E2A01" w:rsidRPr="00780580" w:rsidTr="007E2A01">
        <w:trPr>
          <w:trHeight w:val="288"/>
        </w:trPr>
        <w:tc>
          <w:tcPr>
            <w:tcW w:w="5104" w:type="dxa"/>
          </w:tcPr>
          <w:p w:rsidR="007E2A01" w:rsidRPr="00780580" w:rsidRDefault="007E2A01" w:rsidP="007E2A01">
            <w:pPr>
              <w:jc w:val="both"/>
              <w:rPr>
                <w:rFonts w:ascii="Bookman Old Style" w:hAnsi="Bookman Old Style" w:cstheme="majorHAnsi"/>
              </w:rPr>
            </w:pPr>
            <w:r w:rsidRPr="00780580">
              <w:rPr>
                <w:rFonts w:ascii="Bookman Old Style" w:eastAsia="Calibri" w:hAnsi="Bookman Old Style" w:cstheme="majorHAnsi"/>
              </w:rPr>
              <w:t>Ensayo clínico uso cannabis para deshabituación pasta base</w:t>
            </w:r>
          </w:p>
        </w:tc>
        <w:tc>
          <w:tcPr>
            <w:tcW w:w="4820" w:type="dxa"/>
          </w:tcPr>
          <w:p w:rsidR="007E2A01" w:rsidRPr="00780580" w:rsidRDefault="007E2A01" w:rsidP="007E2A01">
            <w:pPr>
              <w:jc w:val="both"/>
              <w:rPr>
                <w:rFonts w:ascii="Bookman Old Style" w:hAnsi="Bookman Old Style" w:cstheme="majorHAnsi"/>
              </w:rPr>
            </w:pPr>
            <w:r w:rsidRPr="00780580">
              <w:rPr>
                <w:rFonts w:ascii="Bookman Old Style" w:eastAsia="Calibri" w:hAnsi="Bookman Old Style" w:cstheme="majorHAnsi"/>
              </w:rPr>
              <w:t>Regulación de Estudios sobre efectos cannabis en la salud y sobre acciones y gastos de represión.</w:t>
            </w:r>
          </w:p>
        </w:tc>
      </w:tr>
    </w:tbl>
    <w:p w:rsidR="007E2A01" w:rsidRPr="00780580" w:rsidRDefault="007E2A01" w:rsidP="007E2A01">
      <w:pPr>
        <w:ind w:left="-426"/>
        <w:rPr>
          <w:rFonts w:ascii="Bookman Old Style" w:eastAsia="Calibri" w:hAnsi="Bookman Old Style" w:cs="Calibri"/>
        </w:rPr>
      </w:pPr>
    </w:p>
    <w:p w:rsidR="007E2A01" w:rsidRDefault="007E2A01" w:rsidP="007E2A01">
      <w:pPr>
        <w:jc w:val="both"/>
        <w:rPr>
          <w:rFonts w:ascii="Bookman Old Style" w:eastAsia="Calibri" w:hAnsi="Bookman Old Style"/>
        </w:rPr>
      </w:pPr>
      <w:r w:rsidRPr="00780580">
        <w:rPr>
          <w:rFonts w:ascii="Bookman Old Style" w:eastAsia="Calibri" w:hAnsi="Bookman Old Style"/>
        </w:rPr>
        <w:t xml:space="preserve">Por otra parte, las elecciones de 2020 en Estados Unidos le dieron una victoria al cannabis </w:t>
      </w:r>
      <w:r>
        <w:rPr>
          <w:rFonts w:ascii="Bookman Old Style" w:eastAsia="Calibri" w:hAnsi="Bookman Old Style"/>
        </w:rPr>
        <w:t>de uso adulto</w:t>
      </w:r>
      <w:r w:rsidRPr="00780580">
        <w:rPr>
          <w:rFonts w:ascii="Bookman Old Style" w:eastAsia="Calibri" w:hAnsi="Bookman Old Style"/>
        </w:rPr>
        <w:t>. Arizona, Montana, Nueva Jersey y Dakota del Sur ahora hacen parte de los estados que aprobaron el consumo de cannabis para adultos.</w:t>
      </w:r>
      <w:r w:rsidRPr="00780580">
        <w:rPr>
          <w:rStyle w:val="Refdenotaalpie"/>
          <w:rFonts w:ascii="Bookman Old Style" w:eastAsia="Calibri" w:hAnsi="Bookman Old Style"/>
        </w:rPr>
        <w:footnoteReference w:id="11"/>
      </w:r>
      <w:r w:rsidRPr="00780580">
        <w:rPr>
          <w:rFonts w:ascii="Bookman Old Style" w:eastAsia="Calibri" w:hAnsi="Bookman Old Style"/>
        </w:rPr>
        <w:t xml:space="preserve"> Así mismo, el 31 de marzo del 2021, el estado de Nueva York legalizo el consumo de cannabis </w:t>
      </w:r>
      <w:r>
        <w:rPr>
          <w:rFonts w:ascii="Bookman Old Style" w:eastAsia="Calibri" w:hAnsi="Bookman Old Style"/>
        </w:rPr>
        <w:t>de uso adulto</w:t>
      </w:r>
      <w:r w:rsidRPr="00780580">
        <w:rPr>
          <w:rFonts w:ascii="Bookman Old Style" w:eastAsia="Calibri" w:hAnsi="Bookman Old Style"/>
        </w:rPr>
        <w:t>, convirtiéndose en el decimosexto estado que regula su consumo.</w:t>
      </w:r>
    </w:p>
    <w:p w:rsidR="007E2A01" w:rsidRDefault="007E2A01" w:rsidP="007E2A01">
      <w:pPr>
        <w:jc w:val="both"/>
        <w:rPr>
          <w:rFonts w:ascii="Bookman Old Style" w:eastAsia="Calibri" w:hAnsi="Bookman Old Style"/>
        </w:rPr>
      </w:pPr>
    </w:p>
    <w:p w:rsidR="007E2A01" w:rsidRPr="00780580" w:rsidRDefault="007E2A01" w:rsidP="007E2A01">
      <w:pPr>
        <w:jc w:val="both"/>
        <w:rPr>
          <w:rFonts w:ascii="Bookman Old Style" w:eastAsia="Calibri" w:hAnsi="Bookman Old Style"/>
        </w:rPr>
      </w:pPr>
    </w:p>
    <w:p w:rsidR="007E2A01" w:rsidRPr="00780580" w:rsidRDefault="007E2A01" w:rsidP="007E2A01">
      <w:pPr>
        <w:jc w:val="center"/>
        <w:rPr>
          <w:rFonts w:ascii="Bookman Old Style" w:eastAsia="Calibri" w:hAnsi="Bookman Old Style"/>
          <w:b/>
          <w:bCs/>
        </w:rPr>
      </w:pPr>
      <w:r w:rsidRPr="00780580">
        <w:rPr>
          <w:rFonts w:ascii="Bookman Old Style" w:eastAsia="Calibri" w:hAnsi="Bookman Old Style"/>
          <w:noProof/>
        </w:rPr>
        <w:lastRenderedPageBreak/>
        <w:drawing>
          <wp:anchor distT="0" distB="0" distL="114300" distR="114300" simplePos="0" relativeHeight="251659264" behindDoc="0" locked="0" layoutInCell="1" allowOverlap="1" wp14:anchorId="5E328F9F" wp14:editId="54BCB847">
            <wp:simplePos x="0" y="0"/>
            <wp:positionH relativeFrom="margin">
              <wp:align>center</wp:align>
            </wp:positionH>
            <wp:positionV relativeFrom="paragraph">
              <wp:posOffset>245511</wp:posOffset>
            </wp:positionV>
            <wp:extent cx="4746458" cy="3148585"/>
            <wp:effectExtent l="0" t="0" r="0" b="0"/>
            <wp:wrapTopAndBottom/>
            <wp:docPr id="3" name="Imagen 3" descr="Map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Mapa&#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46458" cy="3148585"/>
                    </a:xfrm>
                    <a:prstGeom prst="rect">
                      <a:avLst/>
                    </a:prstGeom>
                  </pic:spPr>
                </pic:pic>
              </a:graphicData>
            </a:graphic>
          </wp:anchor>
        </w:drawing>
      </w:r>
      <w:r w:rsidRPr="00780580">
        <w:rPr>
          <w:rFonts w:ascii="Bookman Old Style" w:eastAsia="Calibri" w:hAnsi="Bookman Old Style"/>
          <w:b/>
          <w:bCs/>
        </w:rPr>
        <w:t>Gráfico 1. Industria del cannabis en Estados Unidos</w:t>
      </w:r>
    </w:p>
    <w:p w:rsidR="007E2A01" w:rsidRPr="006127F0" w:rsidRDefault="007E2A01" w:rsidP="007E2A01">
      <w:pPr>
        <w:jc w:val="center"/>
        <w:rPr>
          <w:rFonts w:ascii="Bookman Old Style" w:eastAsia="Calibri" w:hAnsi="Bookman Old Style"/>
          <w:i/>
          <w:iCs/>
          <w:sz w:val="20"/>
          <w:szCs w:val="20"/>
        </w:rPr>
      </w:pPr>
      <w:r w:rsidRPr="006127F0">
        <w:rPr>
          <w:rFonts w:ascii="Bookman Old Style" w:eastAsia="Calibri" w:hAnsi="Bookman Old Style"/>
          <w:i/>
          <w:iCs/>
          <w:sz w:val="20"/>
          <w:szCs w:val="20"/>
        </w:rPr>
        <w:t>Fuente: Marijuana Policy Project, gráfico desarrollado por Vox</w:t>
      </w:r>
    </w:p>
    <w:p w:rsidR="007E2A01" w:rsidRPr="00780580" w:rsidRDefault="007E2A01" w:rsidP="007E2A01">
      <w:pPr>
        <w:jc w:val="both"/>
        <w:rPr>
          <w:rFonts w:ascii="Bookman Old Style" w:eastAsia="Calibri" w:hAnsi="Bookman Old Style"/>
        </w:rPr>
      </w:pPr>
    </w:p>
    <w:p w:rsidR="007E2A01" w:rsidRPr="00780580" w:rsidRDefault="007E2A01" w:rsidP="007E2A01">
      <w:pPr>
        <w:jc w:val="both"/>
        <w:rPr>
          <w:rFonts w:ascii="Bookman Old Style" w:eastAsia="Calibri" w:hAnsi="Bookman Old Style"/>
        </w:rPr>
      </w:pPr>
      <w:r w:rsidRPr="00780580">
        <w:rPr>
          <w:rFonts w:ascii="Bookman Old Style" w:eastAsia="Calibri" w:hAnsi="Bookman Old Style"/>
        </w:rPr>
        <w:t>En particular, la compañía de análisis e investigación de mercado que se especializa en la industria del cannabis, Brightfield Group, proyecta que, con los nuevos Estados que aprobaron el uso adulto de cannabis y las recientes incorporaciones como lo es el estado de Nueva York, Estados Unidos alcanzará los 45.000 millones de dólares en ventas para 2025.</w:t>
      </w:r>
      <w:r w:rsidRPr="00780580">
        <w:rPr>
          <w:rStyle w:val="Refdenotaalpie"/>
          <w:rFonts w:ascii="Bookman Old Style" w:eastAsia="Calibri" w:hAnsi="Bookman Old Style"/>
        </w:rPr>
        <w:footnoteReference w:id="12"/>
      </w:r>
    </w:p>
    <w:p w:rsidR="007E2A01" w:rsidRPr="00780580" w:rsidRDefault="007E2A01" w:rsidP="007E2A01">
      <w:pPr>
        <w:jc w:val="both"/>
        <w:rPr>
          <w:rFonts w:ascii="Bookman Old Style" w:eastAsia="Calibri" w:hAnsi="Bookman Old Style"/>
        </w:rPr>
      </w:pPr>
    </w:p>
    <w:p w:rsidR="007E2A01" w:rsidRPr="00780580" w:rsidRDefault="007E2A01" w:rsidP="007E2A01">
      <w:pPr>
        <w:jc w:val="both"/>
        <w:rPr>
          <w:rFonts w:ascii="Bookman Old Style" w:eastAsia="Calibri" w:hAnsi="Bookman Old Style"/>
        </w:rPr>
      </w:pPr>
      <w:r w:rsidRPr="00780580">
        <w:rPr>
          <w:rFonts w:ascii="Bookman Old Style" w:eastAsia="Calibri" w:hAnsi="Bookman Old Style"/>
        </w:rPr>
        <w:t xml:space="preserve">El caso de México es particular, desde el 28 de junio del 2021 la ley no prohíbe el consumo de cannabis. Precisamente, la Suprema Corte emitió una declaratoria general de inconstitucionalidad sobre la norma que prohíbe el uso </w:t>
      </w:r>
      <w:r>
        <w:rPr>
          <w:rFonts w:ascii="Bookman Old Style" w:eastAsia="Calibri" w:hAnsi="Bookman Old Style"/>
        </w:rPr>
        <w:t>adulto</w:t>
      </w:r>
      <w:r w:rsidRPr="00780580">
        <w:rPr>
          <w:rFonts w:ascii="Bookman Old Style" w:eastAsia="Calibri" w:hAnsi="Bookman Old Style"/>
        </w:rPr>
        <w:t xml:space="preserve"> de cannabis, anunciando la inexistencia de riesgos colectivos para la salud. Esto a modo comparativo con el resto de las drogas legales, como lo es el alcohol y el tabaco. Así las cosas, se podría interpretar que México es el segundo país de América Latina en aprobar el uso </w:t>
      </w:r>
      <w:r>
        <w:rPr>
          <w:rFonts w:ascii="Bookman Old Style" w:eastAsia="Calibri" w:hAnsi="Bookman Old Style"/>
        </w:rPr>
        <w:t>adulto</w:t>
      </w:r>
      <w:r w:rsidRPr="00780580">
        <w:rPr>
          <w:rFonts w:ascii="Bookman Old Style" w:eastAsia="Calibri" w:hAnsi="Bookman Old Style"/>
        </w:rPr>
        <w:t xml:space="preserve"> de cannabis y su producción para consumo personal. En consecuencia, el paso a seguir es el desarrollo integral de la regulación del cannabis.</w:t>
      </w:r>
    </w:p>
    <w:p w:rsidR="007E2A01" w:rsidRPr="00780580" w:rsidRDefault="007E2A01" w:rsidP="007E2A01">
      <w:pPr>
        <w:jc w:val="both"/>
        <w:rPr>
          <w:rFonts w:ascii="Bookman Old Style" w:eastAsia="Calibri" w:hAnsi="Bookman Old Style"/>
        </w:rPr>
      </w:pPr>
    </w:p>
    <w:p w:rsidR="007E2A01" w:rsidRPr="00780580" w:rsidRDefault="007E2A01" w:rsidP="007E2A01">
      <w:pPr>
        <w:jc w:val="center"/>
        <w:rPr>
          <w:rFonts w:ascii="Bookman Old Style" w:eastAsia="Calibri" w:hAnsi="Bookman Old Style"/>
          <w:b/>
          <w:bCs/>
        </w:rPr>
      </w:pPr>
      <w:r w:rsidRPr="00780580">
        <w:rPr>
          <w:rFonts w:ascii="Bookman Old Style" w:eastAsia="Calibri" w:hAnsi="Bookman Old Style"/>
          <w:b/>
          <w:bCs/>
        </w:rPr>
        <w:t>Gráfico 2. Legislación sobre el uso del cannabis en América</w:t>
      </w:r>
    </w:p>
    <w:p w:rsidR="007E2A01" w:rsidRPr="00780580" w:rsidRDefault="007E2A01" w:rsidP="007E2A01">
      <w:pPr>
        <w:jc w:val="center"/>
        <w:rPr>
          <w:rFonts w:ascii="Bookman Old Style" w:eastAsia="Calibri" w:hAnsi="Bookman Old Style"/>
          <w:noProof/>
        </w:rPr>
      </w:pPr>
    </w:p>
    <w:p w:rsidR="007E2A01" w:rsidRPr="00780580" w:rsidRDefault="007E2A01" w:rsidP="007E2A01">
      <w:pPr>
        <w:jc w:val="center"/>
        <w:rPr>
          <w:rFonts w:ascii="Bookman Old Style" w:eastAsia="Calibri" w:hAnsi="Bookman Old Style"/>
        </w:rPr>
      </w:pPr>
      <w:r w:rsidRPr="00780580">
        <w:rPr>
          <w:rFonts w:ascii="Bookman Old Style" w:eastAsia="Calibri" w:hAnsi="Bookman Old Style"/>
          <w:noProof/>
        </w:rPr>
        <w:lastRenderedPageBreak/>
        <w:drawing>
          <wp:inline distT="0" distB="0" distL="0" distR="0" wp14:anchorId="66F65CC0" wp14:editId="14510D3E">
            <wp:extent cx="4253760" cy="4794585"/>
            <wp:effectExtent l="0" t="0" r="0" b="6350"/>
            <wp:docPr id="7" name="Imagen 7" descr="Map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Mapa&#10;&#10;Descripción generada automáticamente con confianza media"/>
                    <pic:cNvPicPr/>
                  </pic:nvPicPr>
                  <pic:blipFill rotWithShape="1">
                    <a:blip r:embed="rId9" cstate="print">
                      <a:extLst>
                        <a:ext uri="{28A0092B-C50C-407E-A947-70E740481C1C}">
                          <a14:useLocalDpi xmlns:a14="http://schemas.microsoft.com/office/drawing/2010/main" val="0"/>
                        </a:ext>
                      </a:extLst>
                    </a:blip>
                    <a:srcRect l="5470" b="5621"/>
                    <a:stretch/>
                  </pic:blipFill>
                  <pic:spPr bwMode="auto">
                    <a:xfrm>
                      <a:off x="0" y="0"/>
                      <a:ext cx="4257888" cy="4799237"/>
                    </a:xfrm>
                    <a:prstGeom prst="rect">
                      <a:avLst/>
                    </a:prstGeom>
                    <a:ln>
                      <a:noFill/>
                    </a:ln>
                    <a:extLst>
                      <a:ext uri="{53640926-AAD7-44D8-BBD7-CCE9431645EC}">
                        <a14:shadowObscured xmlns:a14="http://schemas.microsoft.com/office/drawing/2010/main"/>
                      </a:ext>
                    </a:extLst>
                  </pic:spPr>
                </pic:pic>
              </a:graphicData>
            </a:graphic>
          </wp:inline>
        </w:drawing>
      </w:r>
    </w:p>
    <w:p w:rsidR="007E2A01" w:rsidRPr="00780580" w:rsidRDefault="007E2A01" w:rsidP="007E2A01">
      <w:pPr>
        <w:jc w:val="center"/>
        <w:rPr>
          <w:rFonts w:ascii="Bookman Old Style" w:eastAsia="Calibri" w:hAnsi="Bookman Old Style"/>
          <w:i/>
          <w:iCs/>
        </w:rPr>
      </w:pPr>
      <w:r w:rsidRPr="00780580">
        <w:rPr>
          <w:rFonts w:ascii="Bookman Old Style" w:eastAsia="Calibri" w:hAnsi="Bookman Old Style"/>
          <w:i/>
          <w:iCs/>
        </w:rPr>
        <w:t>Fuente: CNNEE.</w:t>
      </w:r>
      <w:r w:rsidRPr="00780580">
        <w:rPr>
          <w:rStyle w:val="Refdenotaalpie"/>
          <w:rFonts w:ascii="Bookman Old Style" w:eastAsia="Calibri" w:hAnsi="Bookman Old Style"/>
          <w:i/>
          <w:iCs/>
        </w:rPr>
        <w:footnoteReference w:id="13"/>
      </w:r>
    </w:p>
    <w:p w:rsidR="007E2A01" w:rsidRPr="00780580" w:rsidRDefault="007E2A01" w:rsidP="007E2A01">
      <w:pPr>
        <w:jc w:val="center"/>
        <w:rPr>
          <w:rFonts w:ascii="Bookman Old Style" w:eastAsia="Calibri" w:hAnsi="Bookman Old Style"/>
          <w:i/>
          <w:iCs/>
        </w:rPr>
      </w:pPr>
    </w:p>
    <w:p w:rsidR="007E2A01" w:rsidRPr="00780580" w:rsidRDefault="007E2A01" w:rsidP="007E2A01">
      <w:pPr>
        <w:pStyle w:val="Sinespaciado"/>
        <w:jc w:val="both"/>
        <w:rPr>
          <w:rFonts w:ascii="Bookman Old Style" w:eastAsia="Calibri" w:hAnsi="Bookman Old Style"/>
        </w:rPr>
      </w:pPr>
      <w:r w:rsidRPr="00780580">
        <w:rPr>
          <w:rFonts w:ascii="Bookman Old Style" w:eastAsia="Calibri" w:hAnsi="Bookman Old Style"/>
        </w:rPr>
        <w:t xml:space="preserve">Con lo anterior, se evidencia que al menos siete países en América Latina han aprobado el cannabis con fines medicinales y únicamente dos, México y Uruguay, lo han legalizado con fines </w:t>
      </w:r>
      <w:r>
        <w:rPr>
          <w:rFonts w:ascii="Bookman Old Style" w:eastAsia="Calibri" w:hAnsi="Bookman Old Style"/>
        </w:rPr>
        <w:t>de uso adulto</w:t>
      </w:r>
      <w:r w:rsidRPr="00780580">
        <w:rPr>
          <w:rFonts w:ascii="Bookman Old Style" w:eastAsia="Calibri" w:hAnsi="Bookman Old Style"/>
        </w:rPr>
        <w:t>.</w:t>
      </w:r>
    </w:p>
    <w:p w:rsidR="007E2A01" w:rsidRPr="00780580" w:rsidRDefault="007E2A01" w:rsidP="007E2A01">
      <w:pPr>
        <w:jc w:val="both"/>
        <w:rPr>
          <w:rFonts w:ascii="Bookman Old Style" w:eastAsia="Calibri" w:hAnsi="Bookman Old Style"/>
        </w:rPr>
      </w:pPr>
    </w:p>
    <w:p w:rsidR="007E2A01" w:rsidRPr="00780580" w:rsidRDefault="007E2A01" w:rsidP="007E2A01">
      <w:pPr>
        <w:jc w:val="both"/>
        <w:rPr>
          <w:rFonts w:ascii="Bookman Old Style" w:eastAsia="Calibri" w:hAnsi="Bookman Old Style" w:cs="Calibri"/>
          <w:b/>
          <w:bCs/>
        </w:rPr>
      </w:pPr>
      <w:r>
        <w:rPr>
          <w:rFonts w:ascii="Bookman Old Style" w:eastAsia="Calibri" w:hAnsi="Bookman Old Style" w:cs="Calibri"/>
          <w:b/>
          <w:bCs/>
        </w:rPr>
        <w:t>5</w:t>
      </w:r>
      <w:r w:rsidRPr="00780580">
        <w:rPr>
          <w:rFonts w:ascii="Bookman Old Style" w:eastAsia="Calibri" w:hAnsi="Bookman Old Style" w:cs="Calibri"/>
          <w:b/>
          <w:bCs/>
        </w:rPr>
        <w:t>.2.1 IMPACTO ECONÓMICO DE LA REGULACIÓN EN EL CASO INTERNACIONAL</w:t>
      </w:r>
      <w:r>
        <w:rPr>
          <w:rFonts w:ascii="Bookman Old Style" w:eastAsia="Calibri" w:hAnsi="Bookman Old Style" w:cs="Calibri"/>
          <w:b/>
          <w:bCs/>
        </w:rPr>
        <w:t>.</w:t>
      </w:r>
    </w:p>
    <w:p w:rsidR="007E2A01" w:rsidRPr="00780580" w:rsidRDefault="007E2A01" w:rsidP="007E2A01">
      <w:pPr>
        <w:rPr>
          <w:rFonts w:ascii="Bookman Old Style" w:hAnsi="Bookman Old Style"/>
        </w:rPr>
      </w:pPr>
    </w:p>
    <w:p w:rsidR="007E2A01" w:rsidRPr="00780580" w:rsidRDefault="007E2A01" w:rsidP="007E2A01">
      <w:pPr>
        <w:jc w:val="both"/>
        <w:rPr>
          <w:rFonts w:ascii="Bookman Old Style" w:hAnsi="Bookman Old Style" w:cs="Calibri"/>
        </w:rPr>
      </w:pPr>
      <w:r w:rsidRPr="00780580">
        <w:rPr>
          <w:rFonts w:ascii="Bookman Old Style" w:hAnsi="Bookman Old Style" w:cs="Calibri"/>
        </w:rPr>
        <w:t>Diferentes aspectos económicos muestran que la regulación del uso adulto del cannabis es un gran incentivo para fortalecer la economía. Si pensamos en impuestos al consumo, estamos mirando una fuente de financiación que puede ser usada para programas sociales de salud y prevención del abuso de sustancias. Además, con la regulación se están generando empleos en el marco de la legalidad e impulsando la economía</w:t>
      </w:r>
      <w:r>
        <w:rPr>
          <w:rFonts w:ascii="Bookman Old Style" w:hAnsi="Bookman Old Style" w:cs="Calibri"/>
        </w:rPr>
        <w:t>, l</w:t>
      </w:r>
      <w:r w:rsidRPr="00780580">
        <w:rPr>
          <w:rFonts w:ascii="Bookman Old Style" w:hAnsi="Bookman Old Style" w:cs="Calibri"/>
        </w:rPr>
        <w:t>o cual repercute favorablemente en la lucha para terminar con el mercado negro e ilegal</w:t>
      </w:r>
      <w:r>
        <w:rPr>
          <w:rFonts w:ascii="Bookman Old Style" w:hAnsi="Bookman Old Style" w:cs="Calibri"/>
        </w:rPr>
        <w:t>,</w:t>
      </w:r>
      <w:r w:rsidRPr="00780580">
        <w:rPr>
          <w:rFonts w:ascii="Bookman Old Style" w:hAnsi="Bookman Old Style" w:cs="Calibri"/>
        </w:rPr>
        <w:t xml:space="preserve"> aliviar el sistema carcelario y judicial y, convertir este flagelo en una política encaminada al desarrollo sostenible del país.</w:t>
      </w:r>
    </w:p>
    <w:p w:rsidR="007E2A01" w:rsidRPr="00780580" w:rsidRDefault="007E2A01" w:rsidP="007E2A01">
      <w:pPr>
        <w:jc w:val="both"/>
        <w:rPr>
          <w:rFonts w:ascii="Bookman Old Style" w:hAnsi="Bookman Old Style" w:cs="Calibri"/>
        </w:rPr>
      </w:pPr>
      <w:r w:rsidRPr="00780580">
        <w:rPr>
          <w:rFonts w:ascii="Bookman Old Style" w:hAnsi="Bookman Old Style" w:cs="Calibri"/>
        </w:rPr>
        <w:lastRenderedPageBreak/>
        <w:t xml:space="preserve"> </w:t>
      </w:r>
    </w:p>
    <w:p w:rsidR="007E2A01" w:rsidRPr="00780580" w:rsidRDefault="007E2A01" w:rsidP="007E2A01">
      <w:pPr>
        <w:pStyle w:val="Sinespaciado"/>
        <w:jc w:val="both"/>
        <w:rPr>
          <w:rFonts w:ascii="Bookman Old Style" w:hAnsi="Bookman Old Style"/>
          <w:b/>
        </w:rPr>
      </w:pPr>
      <w:bookmarkStart w:id="0" w:name="_Toc5023208"/>
      <w:r w:rsidRPr="00780580">
        <w:rPr>
          <w:rFonts w:ascii="Bookman Old Style" w:hAnsi="Bookman Old Style"/>
        </w:rPr>
        <w:t xml:space="preserve">Así como el alcohol y el tabaco están regulados y </w:t>
      </w:r>
      <w:r>
        <w:rPr>
          <w:rFonts w:ascii="Bookman Old Style" w:hAnsi="Bookman Old Style"/>
        </w:rPr>
        <w:t>están gravados con</w:t>
      </w:r>
      <w:r w:rsidRPr="00780580">
        <w:rPr>
          <w:rFonts w:ascii="Bookman Old Style" w:hAnsi="Bookman Old Style"/>
        </w:rPr>
        <w:t xml:space="preserve"> impuesto</w:t>
      </w:r>
      <w:r>
        <w:rPr>
          <w:rFonts w:ascii="Bookman Old Style" w:hAnsi="Bookman Old Style"/>
        </w:rPr>
        <w:t>s</w:t>
      </w:r>
      <w:r w:rsidRPr="00780580">
        <w:rPr>
          <w:rFonts w:ascii="Bookman Old Style" w:hAnsi="Bookman Old Style"/>
        </w:rPr>
        <w:t xml:space="preserve">, los impuestos al consumo del cannabis pueden ser una fuente de financiación para </w:t>
      </w:r>
      <w:r>
        <w:rPr>
          <w:rFonts w:ascii="Bookman Old Style" w:hAnsi="Bookman Old Style"/>
        </w:rPr>
        <w:t>p</w:t>
      </w:r>
      <w:r w:rsidRPr="00780580">
        <w:rPr>
          <w:rFonts w:ascii="Bookman Old Style" w:hAnsi="Bookman Old Style"/>
        </w:rPr>
        <w:t xml:space="preserve">rogramas </w:t>
      </w:r>
      <w:r>
        <w:rPr>
          <w:rFonts w:ascii="Bookman Old Style" w:hAnsi="Bookman Old Style"/>
        </w:rPr>
        <w:t>s</w:t>
      </w:r>
      <w:r w:rsidRPr="00780580">
        <w:rPr>
          <w:rFonts w:ascii="Bookman Old Style" w:hAnsi="Bookman Old Style"/>
        </w:rPr>
        <w:t xml:space="preserve">ociales, de </w:t>
      </w:r>
      <w:r>
        <w:rPr>
          <w:rFonts w:ascii="Bookman Old Style" w:hAnsi="Bookman Old Style"/>
        </w:rPr>
        <w:t>s</w:t>
      </w:r>
      <w:r w:rsidRPr="00780580">
        <w:rPr>
          <w:rFonts w:ascii="Bookman Old Style" w:hAnsi="Bookman Old Style"/>
        </w:rPr>
        <w:t xml:space="preserve">alud y de </w:t>
      </w:r>
      <w:r>
        <w:rPr>
          <w:rFonts w:ascii="Bookman Old Style" w:hAnsi="Bookman Old Style"/>
        </w:rPr>
        <w:t>p</w:t>
      </w:r>
      <w:r w:rsidRPr="00780580">
        <w:rPr>
          <w:rFonts w:ascii="Bookman Old Style" w:hAnsi="Bookman Old Style"/>
        </w:rPr>
        <w:t xml:space="preserve">revención de </w:t>
      </w:r>
      <w:r>
        <w:rPr>
          <w:rFonts w:ascii="Bookman Old Style" w:hAnsi="Bookman Old Style"/>
        </w:rPr>
        <w:t>a</w:t>
      </w:r>
      <w:r w:rsidRPr="00780580">
        <w:rPr>
          <w:rFonts w:ascii="Bookman Old Style" w:hAnsi="Bookman Old Style"/>
        </w:rPr>
        <w:t xml:space="preserve">buso de </w:t>
      </w:r>
      <w:r>
        <w:rPr>
          <w:rFonts w:ascii="Bookman Old Style" w:hAnsi="Bookman Old Style"/>
        </w:rPr>
        <w:t>s</w:t>
      </w:r>
      <w:r w:rsidRPr="00780580">
        <w:rPr>
          <w:rFonts w:ascii="Bookman Old Style" w:hAnsi="Bookman Old Style"/>
        </w:rPr>
        <w:t>ustancias</w:t>
      </w:r>
      <w:bookmarkEnd w:id="0"/>
      <w:r w:rsidRPr="00780580">
        <w:rPr>
          <w:rFonts w:ascii="Bookman Old Style" w:hAnsi="Bookman Old Style"/>
        </w:rPr>
        <w:t>.</w:t>
      </w:r>
    </w:p>
    <w:p w:rsidR="007E2A01" w:rsidRPr="00780580" w:rsidRDefault="007E2A01" w:rsidP="007E2A01">
      <w:pPr>
        <w:jc w:val="both"/>
        <w:rPr>
          <w:rFonts w:ascii="Bookman Old Style" w:hAnsi="Bookman Old Style" w:cs="Calibri"/>
        </w:rPr>
      </w:pPr>
    </w:p>
    <w:p w:rsidR="007E2A01" w:rsidRPr="00780580" w:rsidRDefault="007E2A01" w:rsidP="007E2A01">
      <w:pPr>
        <w:jc w:val="both"/>
        <w:rPr>
          <w:rFonts w:ascii="Bookman Old Style" w:hAnsi="Bookman Old Style" w:cs="Calibri"/>
        </w:rPr>
      </w:pPr>
      <w:r w:rsidRPr="00780580">
        <w:rPr>
          <w:rFonts w:ascii="Bookman Old Style" w:hAnsi="Bookman Old Style" w:cs="Calibri"/>
        </w:rPr>
        <w:t>Este mercado en el mundo sigue generando ingresos y creciendo de manera exponencial, según Euromonitor International</w:t>
      </w:r>
      <w:r w:rsidRPr="00780580">
        <w:rPr>
          <w:rStyle w:val="Refdenotaalpie"/>
          <w:rFonts w:ascii="Bookman Old Style" w:hAnsi="Bookman Old Style" w:cs="Calibri"/>
        </w:rPr>
        <w:footnoteReference w:id="14"/>
      </w:r>
      <w:r w:rsidRPr="00780580">
        <w:rPr>
          <w:rFonts w:ascii="Bookman Old Style" w:hAnsi="Bookman Old Style" w:cs="Calibri"/>
        </w:rPr>
        <w:t xml:space="preserve"> el mercado legal de cannabis medicinal del mundo, estimado en 12.000 millones de dólares en 2018, llegará a 166.000 millones de dólares en 2025.</w:t>
      </w:r>
    </w:p>
    <w:p w:rsidR="007E2A01" w:rsidRPr="00780580" w:rsidRDefault="007E2A01" w:rsidP="007E2A01">
      <w:pPr>
        <w:jc w:val="both"/>
        <w:rPr>
          <w:rFonts w:ascii="Bookman Old Style" w:hAnsi="Bookman Old Style" w:cs="Calibri"/>
        </w:rPr>
      </w:pPr>
      <w:r w:rsidRPr="00780580">
        <w:rPr>
          <w:rFonts w:ascii="Bookman Old Style" w:hAnsi="Bookman Old Style" w:cs="Calibri"/>
        </w:rPr>
        <w:cr/>
        <w:t>De otra parte, los profundos avances en la legislación de distintos países para aprobar su uso medicinal han generado un aumento considerable, pasando de 1,4 toneladas (ton) para el año 2000 a 406,1 ton en 2017 (JIFE, 2018).</w:t>
      </w:r>
      <w:r w:rsidRPr="00780580">
        <w:rPr>
          <w:rStyle w:val="Refdenotaalpie"/>
          <w:rFonts w:ascii="Bookman Old Style" w:hAnsi="Bookman Old Style" w:cs="Calibri"/>
        </w:rPr>
        <w:footnoteReference w:id="15"/>
      </w:r>
    </w:p>
    <w:p w:rsidR="007E2A01" w:rsidRPr="00780580" w:rsidRDefault="007E2A01" w:rsidP="007E2A01">
      <w:pPr>
        <w:jc w:val="both"/>
        <w:rPr>
          <w:rFonts w:ascii="Bookman Old Style" w:hAnsi="Bookman Old Style" w:cs="Calibri"/>
        </w:rPr>
      </w:pPr>
    </w:p>
    <w:p w:rsidR="007E2A01" w:rsidRPr="00780580" w:rsidRDefault="007E2A01" w:rsidP="007E2A01">
      <w:pPr>
        <w:jc w:val="both"/>
        <w:rPr>
          <w:rFonts w:ascii="Bookman Old Style" w:hAnsi="Bookman Old Style" w:cs="Calibri"/>
        </w:rPr>
      </w:pPr>
      <w:r w:rsidRPr="00780580">
        <w:rPr>
          <w:rFonts w:ascii="Bookman Old Style" w:hAnsi="Bookman Old Style" w:cs="Calibri"/>
        </w:rPr>
        <w:t>En Estados Unidos la marihuana es legal en los estados de Washington, Oregon, Nevada, California, Alaska, Colorado, Illinois, Michigan, Vermont, Arizona, Nuevo México, Dakota del Sur, Virginia, Nueva York, Nueva Jersey, Connecticut, Massachusetts, Maine y Montana</w:t>
      </w:r>
      <w:r w:rsidRPr="00780580">
        <w:rPr>
          <w:rStyle w:val="Refdenotaalpie"/>
          <w:rFonts w:ascii="Bookman Old Style" w:hAnsi="Bookman Old Style" w:cs="Calibri"/>
        </w:rPr>
        <w:footnoteReference w:id="16"/>
      </w:r>
      <w:r w:rsidRPr="00780580">
        <w:rPr>
          <w:rFonts w:ascii="Bookman Old Style" w:hAnsi="Bookman Old Style" w:cs="Calibri"/>
        </w:rPr>
        <w:t>. En los Estados de Colorado, Washington, Oregón y Alaska, hoy los ingresos por los impuestos en este tema se encuentran por encima de los valores que habían estimado. Como lo muestra el reporte del Drug Policy Alliance (Alianza para Políticas de Drogas) de 2018</w:t>
      </w:r>
      <w:r w:rsidRPr="00780580">
        <w:rPr>
          <w:rStyle w:val="Refdenotaalpie"/>
          <w:rFonts w:ascii="Bookman Old Style" w:hAnsi="Bookman Old Style" w:cs="Calibri"/>
        </w:rPr>
        <w:footnoteReference w:id="17"/>
      </w:r>
      <w:r w:rsidRPr="00780580">
        <w:rPr>
          <w:rFonts w:ascii="Bookman Old Style" w:hAnsi="Bookman Old Style" w:cs="Calibri"/>
        </w:rPr>
        <w:t>, los impuestos recaudados por las ventas de marihuana:</w:t>
      </w:r>
    </w:p>
    <w:p w:rsidR="007E2A01" w:rsidRPr="00780580" w:rsidRDefault="007E2A01" w:rsidP="007E2A01">
      <w:pPr>
        <w:jc w:val="both"/>
        <w:rPr>
          <w:rFonts w:ascii="Bookman Old Style" w:hAnsi="Bookman Old Style"/>
        </w:rPr>
      </w:pPr>
    </w:p>
    <w:p w:rsidR="007E2A01" w:rsidRPr="00780580" w:rsidRDefault="007E2A01" w:rsidP="007E2A01">
      <w:pPr>
        <w:pStyle w:val="Prrafodelista"/>
        <w:numPr>
          <w:ilvl w:val="0"/>
          <w:numId w:val="7"/>
        </w:numPr>
        <w:spacing w:after="0" w:line="240" w:lineRule="auto"/>
        <w:jc w:val="both"/>
        <w:rPr>
          <w:rFonts w:ascii="Bookman Old Style" w:hAnsi="Bookman Old Style" w:cs="Calibri"/>
        </w:rPr>
      </w:pPr>
      <w:r w:rsidRPr="00780580">
        <w:rPr>
          <w:rFonts w:ascii="Bookman Old Style" w:hAnsi="Bookman Old Style" w:cs="Calibri"/>
        </w:rPr>
        <w:t>En Washington generaron ingresos por USD $315 millones en el año fiscal 2016-2017.</w:t>
      </w:r>
    </w:p>
    <w:p w:rsidR="007E2A01" w:rsidRPr="00780580" w:rsidRDefault="007E2A01" w:rsidP="007E2A01">
      <w:pPr>
        <w:pStyle w:val="Prrafodelista"/>
        <w:spacing w:after="0" w:line="240" w:lineRule="auto"/>
        <w:jc w:val="both"/>
        <w:rPr>
          <w:rFonts w:ascii="Bookman Old Style" w:hAnsi="Bookman Old Style" w:cs="Calibri"/>
        </w:rPr>
      </w:pPr>
    </w:p>
    <w:p w:rsidR="007E2A01" w:rsidRPr="00780580" w:rsidRDefault="007E2A01" w:rsidP="007E2A01">
      <w:pPr>
        <w:pStyle w:val="Prrafodelista"/>
        <w:numPr>
          <w:ilvl w:val="0"/>
          <w:numId w:val="7"/>
        </w:numPr>
        <w:spacing w:after="0" w:line="240" w:lineRule="auto"/>
        <w:jc w:val="both"/>
        <w:rPr>
          <w:rFonts w:ascii="Bookman Old Style" w:hAnsi="Bookman Old Style" w:cs="Calibri"/>
        </w:rPr>
      </w:pPr>
      <w:r w:rsidRPr="00780580">
        <w:rPr>
          <w:rFonts w:ascii="Bookman Old Style" w:hAnsi="Bookman Old Style" w:cs="Calibri"/>
        </w:rPr>
        <w:t>En Colorado las ventas generaron USD $600 millones desde 2014.</w:t>
      </w:r>
    </w:p>
    <w:p w:rsidR="007E2A01" w:rsidRPr="00780580" w:rsidRDefault="007E2A01" w:rsidP="007E2A01">
      <w:pPr>
        <w:jc w:val="both"/>
        <w:rPr>
          <w:rFonts w:ascii="Bookman Old Style" w:hAnsi="Bookman Old Style" w:cs="Calibri"/>
        </w:rPr>
      </w:pPr>
    </w:p>
    <w:p w:rsidR="007E2A01" w:rsidRPr="00780580" w:rsidRDefault="007E2A01" w:rsidP="007E2A01">
      <w:pPr>
        <w:pStyle w:val="Prrafodelista"/>
        <w:numPr>
          <w:ilvl w:val="0"/>
          <w:numId w:val="7"/>
        </w:numPr>
        <w:spacing w:after="0" w:line="240" w:lineRule="auto"/>
        <w:jc w:val="both"/>
        <w:rPr>
          <w:rFonts w:ascii="Bookman Old Style" w:hAnsi="Bookman Old Style" w:cs="Calibri"/>
        </w:rPr>
      </w:pPr>
      <w:r w:rsidRPr="00780580">
        <w:rPr>
          <w:rFonts w:ascii="Bookman Old Style" w:hAnsi="Bookman Old Style" w:cs="Calibri"/>
        </w:rPr>
        <w:t>En Oregón, se recaudaron en el periodo fiscal 2016-2017 USD $70 millones, el doble de lo presupuestado inicialmente.</w:t>
      </w:r>
    </w:p>
    <w:p w:rsidR="007E2A01" w:rsidRPr="00780580" w:rsidRDefault="007E2A01" w:rsidP="007E2A01">
      <w:pPr>
        <w:jc w:val="both"/>
        <w:rPr>
          <w:rFonts w:ascii="Bookman Old Style" w:hAnsi="Bookman Old Style" w:cs="Calibri"/>
        </w:rPr>
      </w:pPr>
    </w:p>
    <w:p w:rsidR="007E2A01" w:rsidRPr="00780580" w:rsidRDefault="007E2A01" w:rsidP="007E2A01">
      <w:pPr>
        <w:jc w:val="both"/>
        <w:rPr>
          <w:rFonts w:ascii="Bookman Old Style" w:hAnsi="Bookman Old Style" w:cs="Calibri"/>
        </w:rPr>
      </w:pPr>
      <w:r w:rsidRPr="00780580">
        <w:rPr>
          <w:rFonts w:ascii="Bookman Old Style" w:hAnsi="Bookman Old Style" w:cs="Calibri"/>
        </w:rPr>
        <w:t>Así mismo, de acuerdo con el Departamento de Impuestos de California (CDTFE) la industria de cannabis, durante el tercer cuatrimestre de 2019, recaudó 845 millones de dólares en impuestos.</w:t>
      </w:r>
      <w:r w:rsidRPr="00780580">
        <w:rPr>
          <w:rStyle w:val="Refdenotaalpie"/>
          <w:rFonts w:ascii="Bookman Old Style" w:hAnsi="Bookman Old Style" w:cs="Calibri"/>
        </w:rPr>
        <w:footnoteReference w:id="18"/>
      </w:r>
    </w:p>
    <w:p w:rsidR="007E2A01" w:rsidRPr="00780580" w:rsidRDefault="007E2A01" w:rsidP="007E2A01">
      <w:pPr>
        <w:jc w:val="both"/>
        <w:rPr>
          <w:rFonts w:ascii="Bookman Old Style" w:hAnsi="Bookman Old Style" w:cs="Calibri"/>
        </w:rPr>
      </w:pPr>
    </w:p>
    <w:p w:rsidR="007E2A01" w:rsidRPr="00780580" w:rsidRDefault="007E2A01" w:rsidP="007E2A01">
      <w:pPr>
        <w:jc w:val="both"/>
        <w:rPr>
          <w:rFonts w:ascii="Bookman Old Style" w:hAnsi="Bookman Old Style" w:cs="Calibri"/>
        </w:rPr>
      </w:pPr>
      <w:r w:rsidRPr="00780580">
        <w:rPr>
          <w:rFonts w:ascii="Bookman Old Style" w:hAnsi="Bookman Old Style" w:cs="Calibri"/>
        </w:rPr>
        <w:t>Estos nuevos ingresos han podido ser utilizados para la financiación de programas de educación y política social</w:t>
      </w:r>
      <w:r w:rsidRPr="00780580">
        <w:rPr>
          <w:rStyle w:val="Refdenotaalpie"/>
          <w:rFonts w:ascii="Bookman Old Style" w:hAnsi="Bookman Old Style" w:cs="Calibri"/>
        </w:rPr>
        <w:footnoteReference w:id="19"/>
      </w:r>
      <w:r w:rsidRPr="00780580">
        <w:rPr>
          <w:rFonts w:ascii="Bookman Old Style" w:hAnsi="Bookman Old Style" w:cs="Calibri"/>
        </w:rPr>
        <w:t>:</w:t>
      </w:r>
    </w:p>
    <w:p w:rsidR="007E2A01" w:rsidRPr="00780580" w:rsidRDefault="007E2A01" w:rsidP="007E2A01">
      <w:pPr>
        <w:jc w:val="both"/>
        <w:rPr>
          <w:rFonts w:ascii="Bookman Old Style" w:hAnsi="Bookman Old Style" w:cs="Calibri"/>
        </w:rPr>
      </w:pPr>
    </w:p>
    <w:p w:rsidR="007E2A01" w:rsidRPr="00780580" w:rsidRDefault="007E2A01" w:rsidP="007E2A01">
      <w:pPr>
        <w:pStyle w:val="Prrafodelista"/>
        <w:numPr>
          <w:ilvl w:val="0"/>
          <w:numId w:val="8"/>
        </w:numPr>
        <w:spacing w:after="0" w:line="240" w:lineRule="auto"/>
        <w:jc w:val="both"/>
        <w:rPr>
          <w:rFonts w:ascii="Bookman Old Style" w:hAnsi="Bookman Old Style" w:cs="Calibri"/>
        </w:rPr>
      </w:pPr>
      <w:r w:rsidRPr="00780580">
        <w:rPr>
          <w:rFonts w:ascii="Bookman Old Style" w:hAnsi="Bookman Old Style" w:cs="Calibri"/>
        </w:rPr>
        <w:t>Colorado distribuyó USD $230 millones al Departamento de Educación entre 2015 y 2017, para financiar la construcción de escuelas, programas de alfabetización temprana y de prevención del matoneo.</w:t>
      </w:r>
    </w:p>
    <w:p w:rsidR="007E2A01" w:rsidRPr="00780580" w:rsidRDefault="007E2A01" w:rsidP="007E2A01">
      <w:pPr>
        <w:pStyle w:val="Prrafodelista"/>
        <w:spacing w:after="0" w:line="240" w:lineRule="auto"/>
        <w:jc w:val="both"/>
        <w:rPr>
          <w:rFonts w:ascii="Bookman Old Style" w:hAnsi="Bookman Old Style" w:cs="Calibri"/>
        </w:rPr>
      </w:pPr>
    </w:p>
    <w:p w:rsidR="007E2A01" w:rsidRPr="00780580" w:rsidRDefault="007E2A01" w:rsidP="007E2A01">
      <w:pPr>
        <w:pStyle w:val="Prrafodelista"/>
        <w:numPr>
          <w:ilvl w:val="0"/>
          <w:numId w:val="8"/>
        </w:numPr>
        <w:spacing w:after="0" w:line="240" w:lineRule="auto"/>
        <w:jc w:val="both"/>
        <w:rPr>
          <w:rFonts w:ascii="Bookman Old Style" w:hAnsi="Bookman Old Style" w:cs="Calibri"/>
        </w:rPr>
      </w:pPr>
      <w:r w:rsidRPr="00780580">
        <w:rPr>
          <w:rFonts w:ascii="Bookman Old Style" w:hAnsi="Bookman Old Style" w:cs="Calibri"/>
        </w:rPr>
        <w:t>Oregón destina un 40% de los ingresos por impuestos a la marihuana para financiar el Fondo Estatal para las Escuelas y un 20% al tratamiento de adicciones al alcohol y las drogas.</w:t>
      </w:r>
    </w:p>
    <w:p w:rsidR="007E2A01" w:rsidRPr="00780580" w:rsidRDefault="007E2A01" w:rsidP="007E2A01">
      <w:pPr>
        <w:jc w:val="both"/>
        <w:rPr>
          <w:rFonts w:ascii="Bookman Old Style" w:hAnsi="Bookman Old Style" w:cs="Calibri"/>
        </w:rPr>
      </w:pPr>
    </w:p>
    <w:p w:rsidR="007E2A01" w:rsidRPr="00780580" w:rsidRDefault="007E2A01" w:rsidP="007E2A01">
      <w:pPr>
        <w:pStyle w:val="Prrafodelista"/>
        <w:numPr>
          <w:ilvl w:val="0"/>
          <w:numId w:val="8"/>
        </w:numPr>
        <w:spacing w:after="0" w:line="240" w:lineRule="auto"/>
        <w:jc w:val="both"/>
        <w:rPr>
          <w:rFonts w:ascii="Bookman Old Style" w:hAnsi="Bookman Old Style" w:cs="Calibri"/>
        </w:rPr>
      </w:pPr>
      <w:r w:rsidRPr="00780580">
        <w:rPr>
          <w:rFonts w:ascii="Bookman Old Style" w:hAnsi="Bookman Old Style" w:cs="Calibri"/>
        </w:rPr>
        <w:t>Nevada proyecta invertir el 15% de su recaudo en el Fondo Estatal para las Escuelas, lo cual se espera esté alrededor de USD $56 millones para los próximos dos años.</w:t>
      </w:r>
    </w:p>
    <w:p w:rsidR="007E2A01" w:rsidRPr="00780580" w:rsidRDefault="007E2A01" w:rsidP="007E2A01">
      <w:pPr>
        <w:jc w:val="both"/>
        <w:rPr>
          <w:rFonts w:ascii="Bookman Old Style" w:hAnsi="Bookman Old Style" w:cs="Calibri"/>
        </w:rPr>
      </w:pPr>
    </w:p>
    <w:p w:rsidR="007E2A01" w:rsidRPr="00780580" w:rsidRDefault="007E2A01" w:rsidP="007E2A01">
      <w:pPr>
        <w:pStyle w:val="Prrafodelista"/>
        <w:numPr>
          <w:ilvl w:val="0"/>
          <w:numId w:val="8"/>
        </w:numPr>
        <w:spacing w:after="0" w:line="240" w:lineRule="auto"/>
        <w:jc w:val="both"/>
        <w:rPr>
          <w:rFonts w:ascii="Bookman Old Style" w:hAnsi="Bookman Old Style" w:cs="Calibri"/>
        </w:rPr>
      </w:pPr>
      <w:r w:rsidRPr="00780580">
        <w:rPr>
          <w:rFonts w:ascii="Bookman Old Style" w:hAnsi="Bookman Old Style" w:cs="Calibri"/>
        </w:rPr>
        <w:t>Washington destina el 25% de su recaudo para programas de tratamiento de abuso de substancias, la educación sobre éstas y prevención. Otro 55% se destina a financiar planes básicos de salud.</w:t>
      </w:r>
    </w:p>
    <w:p w:rsidR="007E2A01" w:rsidRPr="00780580" w:rsidRDefault="007E2A01" w:rsidP="007E2A01">
      <w:pPr>
        <w:jc w:val="both"/>
        <w:rPr>
          <w:rFonts w:ascii="Bookman Old Style" w:hAnsi="Bookman Old Style" w:cs="Calibri"/>
        </w:rPr>
      </w:pPr>
    </w:p>
    <w:p w:rsidR="007E2A01" w:rsidRPr="00780580" w:rsidRDefault="007E2A01" w:rsidP="007E2A01">
      <w:pPr>
        <w:pStyle w:val="Prrafodelista"/>
        <w:numPr>
          <w:ilvl w:val="0"/>
          <w:numId w:val="8"/>
        </w:numPr>
        <w:spacing w:after="0" w:line="240" w:lineRule="auto"/>
        <w:jc w:val="both"/>
        <w:rPr>
          <w:rFonts w:ascii="Bookman Old Style" w:hAnsi="Bookman Old Style" w:cs="Calibri"/>
        </w:rPr>
      </w:pPr>
      <w:r w:rsidRPr="00780580">
        <w:rPr>
          <w:rFonts w:ascii="Bookman Old Style" w:hAnsi="Bookman Old Style" w:cs="Calibri"/>
        </w:rPr>
        <w:t>Se espera que, Alaska recoja USD $12 millones anuales que van a ser usados para financiar programas de tratamiento de adicción a las drogas y centros comunitarios residenciales.</w:t>
      </w:r>
    </w:p>
    <w:p w:rsidR="007E2A01" w:rsidRPr="00780580" w:rsidRDefault="007E2A01" w:rsidP="007E2A01">
      <w:pPr>
        <w:jc w:val="both"/>
        <w:rPr>
          <w:rFonts w:ascii="Bookman Old Style" w:hAnsi="Bookman Old Style" w:cs="Calibri"/>
        </w:rPr>
      </w:pPr>
    </w:p>
    <w:p w:rsidR="007E2A01" w:rsidRPr="00780580" w:rsidRDefault="007E2A01" w:rsidP="007E2A01">
      <w:pPr>
        <w:pStyle w:val="Prrafodelista"/>
        <w:numPr>
          <w:ilvl w:val="0"/>
          <w:numId w:val="8"/>
        </w:numPr>
        <w:spacing w:after="0" w:line="240" w:lineRule="auto"/>
        <w:jc w:val="both"/>
        <w:rPr>
          <w:rFonts w:ascii="Bookman Old Style" w:hAnsi="Bookman Old Style" w:cs="Calibri"/>
        </w:rPr>
      </w:pPr>
      <w:r w:rsidRPr="00780580">
        <w:rPr>
          <w:rFonts w:ascii="Bookman Old Style" w:hAnsi="Bookman Old Style" w:cs="Calibri"/>
        </w:rPr>
        <w:t>California y Massachusetts invertirán parte de su recaudo de impuestos en las comunidades más afectadas por arrestos de drogas, encarcelamiento, comunidades de bajos ingresos y para reparar el daño de la aplicación desigual de las políticas de drogas.</w:t>
      </w:r>
    </w:p>
    <w:p w:rsidR="007E2A01" w:rsidRPr="00780580" w:rsidRDefault="007E2A01" w:rsidP="007E2A01">
      <w:pPr>
        <w:jc w:val="both"/>
        <w:rPr>
          <w:rFonts w:ascii="Bookman Old Style" w:hAnsi="Bookman Old Style" w:cs="Calibri"/>
        </w:rPr>
      </w:pPr>
    </w:p>
    <w:p w:rsidR="007E2A01" w:rsidRPr="00780580" w:rsidRDefault="007E2A01" w:rsidP="007E2A01">
      <w:pPr>
        <w:jc w:val="both"/>
        <w:rPr>
          <w:rFonts w:ascii="Bookman Old Style" w:hAnsi="Bookman Old Style" w:cs="Calibri"/>
        </w:rPr>
      </w:pPr>
      <w:r w:rsidRPr="00780580">
        <w:rPr>
          <w:rFonts w:ascii="Bookman Old Style" w:hAnsi="Bookman Old Style" w:cs="Calibri"/>
        </w:rPr>
        <w:t>Lo anterior es importante verlo a la luz de las cifras de judicialización, el consumo de marihuana y salud en los Estados que han regulado el consumo adulto, respecto al resto de los Estados en Estados Unidos que no lo han hecho. Por ejemplo:</w:t>
      </w:r>
    </w:p>
    <w:p w:rsidR="007E2A01" w:rsidRPr="00780580" w:rsidRDefault="007E2A01" w:rsidP="007E2A01">
      <w:pPr>
        <w:jc w:val="both"/>
        <w:rPr>
          <w:rFonts w:ascii="Bookman Old Style" w:hAnsi="Bookman Old Style" w:cs="Calibri"/>
        </w:rPr>
      </w:pPr>
    </w:p>
    <w:p w:rsidR="007E2A01" w:rsidRPr="00780580" w:rsidRDefault="007E2A01" w:rsidP="007E2A01">
      <w:pPr>
        <w:pStyle w:val="Prrafodelista"/>
        <w:numPr>
          <w:ilvl w:val="0"/>
          <w:numId w:val="9"/>
        </w:numPr>
        <w:spacing w:after="0" w:line="240" w:lineRule="auto"/>
        <w:jc w:val="both"/>
        <w:rPr>
          <w:rFonts w:ascii="Bookman Old Style" w:hAnsi="Bookman Old Style" w:cs="Calibri"/>
        </w:rPr>
      </w:pPr>
      <w:r w:rsidRPr="00780580">
        <w:rPr>
          <w:rFonts w:ascii="Bookman Old Style" w:hAnsi="Bookman Old Style" w:cs="Calibri"/>
        </w:rPr>
        <w:t>En los Estados donde fue regulada la marihuana bajaron significativamente los arrestos por posesión de drogas, ahorrándoles cientos de millones de dólares al Tesoro y antecedentes penales a las personas que los estigmatizarían de por vida.</w:t>
      </w:r>
      <w:r w:rsidRPr="00780580">
        <w:rPr>
          <w:rStyle w:val="Refdenotaalpie"/>
          <w:rFonts w:ascii="Bookman Old Style" w:hAnsi="Bookman Old Style" w:cs="Calibri"/>
        </w:rPr>
        <w:footnoteReference w:id="20"/>
      </w:r>
    </w:p>
    <w:p w:rsidR="007E2A01" w:rsidRPr="00780580" w:rsidRDefault="007E2A01" w:rsidP="007E2A01">
      <w:pPr>
        <w:ind w:left="360"/>
        <w:jc w:val="both"/>
        <w:rPr>
          <w:rFonts w:ascii="Bookman Old Style" w:hAnsi="Bookman Old Style" w:cs="Calibri"/>
        </w:rPr>
      </w:pPr>
    </w:p>
    <w:p w:rsidR="007E2A01" w:rsidRPr="00780580" w:rsidRDefault="007E2A01" w:rsidP="007E2A01">
      <w:pPr>
        <w:pStyle w:val="Prrafodelista"/>
        <w:numPr>
          <w:ilvl w:val="0"/>
          <w:numId w:val="9"/>
        </w:numPr>
        <w:spacing w:after="0" w:line="240" w:lineRule="auto"/>
        <w:jc w:val="both"/>
        <w:rPr>
          <w:rFonts w:ascii="Bookman Old Style" w:hAnsi="Bookman Old Style" w:cs="Calibri"/>
        </w:rPr>
      </w:pPr>
      <w:r w:rsidRPr="00780580">
        <w:rPr>
          <w:rFonts w:ascii="Bookman Old Style" w:hAnsi="Bookman Old Style" w:cs="Calibri"/>
        </w:rPr>
        <w:t>El consumo de marihuana entre jóvenes se ha mantenido estable en los Estados que la han regulado. En los Estados de Washington, Colorado y Alaska, la cifra de consumo de marihuana entre estudiantes de secundaria está en línea con el promedio nacional.</w:t>
      </w:r>
      <w:r w:rsidRPr="00780580">
        <w:rPr>
          <w:rStyle w:val="Refdenotaalpie"/>
          <w:rFonts w:ascii="Bookman Old Style" w:hAnsi="Bookman Old Style" w:cs="Calibri"/>
        </w:rPr>
        <w:footnoteReference w:id="21"/>
      </w:r>
    </w:p>
    <w:p w:rsidR="007E2A01" w:rsidRPr="00780580" w:rsidRDefault="007E2A01" w:rsidP="007E2A01">
      <w:pPr>
        <w:jc w:val="both"/>
        <w:rPr>
          <w:rFonts w:ascii="Bookman Old Style" w:hAnsi="Bookman Old Style" w:cs="Calibri"/>
        </w:rPr>
      </w:pPr>
    </w:p>
    <w:p w:rsidR="007E2A01" w:rsidRPr="00780580" w:rsidRDefault="007E2A01" w:rsidP="007E2A01">
      <w:pPr>
        <w:pStyle w:val="Prrafodelista"/>
        <w:numPr>
          <w:ilvl w:val="0"/>
          <w:numId w:val="9"/>
        </w:numPr>
        <w:spacing w:after="0" w:line="240" w:lineRule="auto"/>
        <w:jc w:val="both"/>
        <w:rPr>
          <w:rFonts w:ascii="Bookman Old Style" w:hAnsi="Bookman Old Style" w:cs="Calibri"/>
        </w:rPr>
      </w:pPr>
      <w:r w:rsidRPr="00780580">
        <w:rPr>
          <w:rFonts w:ascii="Bookman Old Style" w:hAnsi="Bookman Old Style" w:cs="Calibri"/>
        </w:rPr>
        <w:t>La regulación de la marihuana está relacionada con tasas más bajas de sobredosis y muertes relacionadas a otras drogas más peligrosas como los opioides.</w:t>
      </w:r>
      <w:r w:rsidRPr="00780580">
        <w:rPr>
          <w:rStyle w:val="Refdenotaalpie"/>
          <w:rFonts w:ascii="Bookman Old Style" w:hAnsi="Bookman Old Style" w:cs="Calibri"/>
        </w:rPr>
        <w:footnoteReference w:id="22"/>
      </w:r>
    </w:p>
    <w:p w:rsidR="007E2A01" w:rsidRPr="00780580" w:rsidRDefault="007E2A01" w:rsidP="007E2A01">
      <w:pPr>
        <w:jc w:val="both"/>
        <w:rPr>
          <w:rFonts w:ascii="Bookman Old Style" w:hAnsi="Bookman Old Style" w:cs="Calibri"/>
          <w:b/>
        </w:rPr>
      </w:pPr>
    </w:p>
    <w:p w:rsidR="007E2A01" w:rsidRPr="00780580" w:rsidRDefault="007E2A01" w:rsidP="007E2A01">
      <w:pPr>
        <w:pStyle w:val="Prrafodelista"/>
        <w:numPr>
          <w:ilvl w:val="0"/>
          <w:numId w:val="9"/>
        </w:numPr>
        <w:spacing w:after="0" w:line="240" w:lineRule="auto"/>
        <w:jc w:val="both"/>
        <w:rPr>
          <w:rFonts w:ascii="Bookman Old Style" w:hAnsi="Bookman Old Style" w:cs="Calibri"/>
        </w:rPr>
      </w:pPr>
      <w:r w:rsidRPr="00780580">
        <w:rPr>
          <w:rFonts w:ascii="Bookman Old Style" w:hAnsi="Bookman Old Style" w:cs="Calibri"/>
        </w:rPr>
        <w:lastRenderedPageBreak/>
        <w:t>La regulación de la marihuana no ha incremento los arrestos por conducir en estado de intoxicación por alcohol o drogas en los Estados de Colorado y Washington.</w:t>
      </w:r>
      <w:r w:rsidRPr="00780580">
        <w:rPr>
          <w:rStyle w:val="Refdenotaalpie"/>
          <w:rFonts w:ascii="Bookman Old Style" w:hAnsi="Bookman Old Style" w:cs="Calibri"/>
        </w:rPr>
        <w:footnoteReference w:id="23"/>
      </w:r>
    </w:p>
    <w:p w:rsidR="007E2A01" w:rsidRPr="00780580" w:rsidRDefault="007E2A01" w:rsidP="007E2A01">
      <w:pPr>
        <w:jc w:val="both"/>
        <w:rPr>
          <w:rFonts w:ascii="Bookman Old Style" w:hAnsi="Bookman Old Style" w:cs="Calibri"/>
        </w:rPr>
      </w:pPr>
    </w:p>
    <w:p w:rsidR="007E2A01" w:rsidRPr="00780580" w:rsidRDefault="007E2A01" w:rsidP="007E2A01">
      <w:pPr>
        <w:pStyle w:val="Prrafodelista"/>
        <w:numPr>
          <w:ilvl w:val="0"/>
          <w:numId w:val="9"/>
        </w:numPr>
        <w:spacing w:after="0" w:line="240" w:lineRule="auto"/>
        <w:jc w:val="both"/>
        <w:rPr>
          <w:rFonts w:ascii="Bookman Old Style" w:hAnsi="Bookman Old Style" w:cs="Calibri"/>
        </w:rPr>
      </w:pPr>
      <w:r w:rsidRPr="00780580">
        <w:rPr>
          <w:rFonts w:ascii="Bookman Old Style" w:hAnsi="Bookman Old Style" w:cs="Calibri"/>
        </w:rPr>
        <w:t>No hay tampoco correlación entre los accidentes de tránsito y la regulación. En Colorado y Washington, los accidentes son estadísticamente similares a aquellos sin marihuana legal.</w:t>
      </w:r>
      <w:r w:rsidRPr="00780580">
        <w:rPr>
          <w:rStyle w:val="Refdenotaalpie"/>
          <w:rFonts w:ascii="Bookman Old Style" w:hAnsi="Bookman Old Style" w:cs="Calibri"/>
        </w:rPr>
        <w:footnoteReference w:id="24"/>
      </w:r>
    </w:p>
    <w:p w:rsidR="007E2A01" w:rsidRPr="00780580" w:rsidRDefault="007E2A01" w:rsidP="007E2A01">
      <w:pPr>
        <w:jc w:val="both"/>
        <w:rPr>
          <w:rFonts w:ascii="Bookman Old Style" w:hAnsi="Bookman Old Style" w:cs="Calibri"/>
        </w:rPr>
      </w:pPr>
    </w:p>
    <w:p w:rsidR="007E2A01" w:rsidRPr="00780580" w:rsidRDefault="007E2A01" w:rsidP="007E2A01">
      <w:pPr>
        <w:jc w:val="both"/>
        <w:rPr>
          <w:rFonts w:ascii="Bookman Old Style" w:hAnsi="Bookman Old Style" w:cs="Calibri"/>
          <w:lang w:val="es-ES"/>
        </w:rPr>
      </w:pPr>
      <w:r w:rsidRPr="00780580">
        <w:rPr>
          <w:rFonts w:ascii="Bookman Old Style" w:hAnsi="Bookman Old Style" w:cs="Calibri"/>
          <w:lang w:val="es-ES"/>
        </w:rPr>
        <w:t>Por otra parte, los delitos en Estados Unidos relacionados con cannabis han sido en muchos casos una excusa para fomentar la discriminación racial. En particular, las comunidades negras tienen 3,6 veces más la probabilidad de ser arrestadas por posesión de marihuana en comparación con las personas blancas. Este hecho profundiza las desigualdades económicas entre las comunidades.</w:t>
      </w:r>
      <w:r w:rsidRPr="00780580">
        <w:rPr>
          <w:rStyle w:val="Refdenotaalpie"/>
          <w:rFonts w:ascii="Bookman Old Style" w:hAnsi="Bookman Old Style" w:cs="Calibri"/>
          <w:lang w:val="es-ES"/>
        </w:rPr>
        <w:footnoteReference w:id="25"/>
      </w:r>
    </w:p>
    <w:p w:rsidR="007E2A01" w:rsidRPr="00780580" w:rsidRDefault="007E2A01" w:rsidP="007E2A01">
      <w:pPr>
        <w:jc w:val="both"/>
        <w:rPr>
          <w:rFonts w:ascii="Bookman Old Style" w:hAnsi="Bookman Old Style" w:cs="Calibri"/>
          <w:lang w:val="es-ES"/>
        </w:rPr>
      </w:pPr>
    </w:p>
    <w:p w:rsidR="007E2A01" w:rsidRPr="00780580" w:rsidRDefault="007E2A01" w:rsidP="007E2A01">
      <w:pPr>
        <w:jc w:val="both"/>
        <w:rPr>
          <w:rFonts w:ascii="Bookman Old Style" w:hAnsi="Bookman Old Style" w:cs="Calibri"/>
          <w:lang w:val="es-ES"/>
        </w:rPr>
      </w:pPr>
      <w:r w:rsidRPr="00780580">
        <w:rPr>
          <w:rFonts w:ascii="Bookman Old Style" w:hAnsi="Bookman Old Style" w:cs="Calibri"/>
          <w:lang w:val="es-ES"/>
        </w:rPr>
        <w:t xml:space="preserve">Una de las principales dificultades que enfrenta el sector de la marihuana legal en Estados Unidos es la restricción federal a los bancos de recibir dineros procedentes de negocios de marihuana, así estos sean legales en algunos estados. </w:t>
      </w:r>
      <w:r>
        <w:rPr>
          <w:rFonts w:ascii="Bookman Old Style" w:hAnsi="Bookman Old Style" w:cs="Calibri"/>
          <w:lang w:val="es-ES"/>
        </w:rPr>
        <w:t>Desde su presentación en</w:t>
      </w:r>
      <w:r w:rsidRPr="00780580">
        <w:rPr>
          <w:rFonts w:ascii="Bookman Old Style" w:hAnsi="Bookman Old Style" w:cs="Calibri"/>
          <w:lang w:val="es-ES"/>
        </w:rPr>
        <w:t xml:space="preserve"> 2019</w:t>
      </w:r>
      <w:r>
        <w:rPr>
          <w:rFonts w:ascii="Bookman Old Style" w:hAnsi="Bookman Old Style" w:cs="Calibri"/>
          <w:lang w:val="es-ES"/>
        </w:rPr>
        <w:t xml:space="preserve">, la </w:t>
      </w:r>
      <w:r w:rsidRPr="001D5D7C">
        <w:rPr>
          <w:rFonts w:ascii="Bookman Old Style" w:hAnsi="Bookman Old Style" w:cs="Calibri"/>
          <w:i/>
          <w:iCs/>
          <w:lang w:val="es-ES"/>
        </w:rPr>
        <w:t>SAFE Banking Act</w:t>
      </w:r>
      <w:r w:rsidRPr="00780580">
        <w:rPr>
          <w:rFonts w:ascii="Bookman Old Style" w:hAnsi="Bookman Old Style" w:cs="Calibri"/>
          <w:lang w:val="es-ES"/>
        </w:rPr>
        <w:t xml:space="preserve"> </w:t>
      </w:r>
      <w:r>
        <w:rPr>
          <w:rFonts w:ascii="Bookman Old Style" w:hAnsi="Bookman Old Style" w:cs="Calibri"/>
          <w:lang w:val="es-ES"/>
        </w:rPr>
        <w:t>ha sido</w:t>
      </w:r>
      <w:r w:rsidRPr="00780580">
        <w:rPr>
          <w:rFonts w:ascii="Bookman Old Style" w:hAnsi="Bookman Old Style" w:cs="Calibri"/>
          <w:lang w:val="es-ES"/>
        </w:rPr>
        <w:t xml:space="preserve"> aprobada en la </w:t>
      </w:r>
      <w:r>
        <w:rPr>
          <w:rFonts w:ascii="Bookman Old Style" w:hAnsi="Bookman Old Style" w:cs="Calibri"/>
          <w:lang w:val="es-ES"/>
        </w:rPr>
        <w:t>C</w:t>
      </w:r>
      <w:r w:rsidRPr="00780580">
        <w:rPr>
          <w:rFonts w:ascii="Bookman Old Style" w:hAnsi="Bookman Old Style" w:cs="Calibri"/>
          <w:lang w:val="es-ES"/>
        </w:rPr>
        <w:t xml:space="preserve">ámara de </w:t>
      </w:r>
      <w:r>
        <w:rPr>
          <w:rFonts w:ascii="Bookman Old Style" w:hAnsi="Bookman Old Style" w:cs="Calibri"/>
          <w:lang w:val="es-ES"/>
        </w:rPr>
        <w:t>R</w:t>
      </w:r>
      <w:r w:rsidRPr="00780580">
        <w:rPr>
          <w:rFonts w:ascii="Bookman Old Style" w:hAnsi="Bookman Old Style" w:cs="Calibri"/>
          <w:lang w:val="es-ES"/>
        </w:rPr>
        <w:t xml:space="preserve">epresentantes </w:t>
      </w:r>
      <w:r>
        <w:rPr>
          <w:rFonts w:ascii="Bookman Old Style" w:hAnsi="Bookman Old Style" w:cs="Calibri"/>
          <w:lang w:val="es-ES"/>
        </w:rPr>
        <w:t>en seis oportunidades, y a pesar de que no ha podido ser aprobada en el Senado, ahora cuenta con apoyo del bipartidismo</w:t>
      </w:r>
      <w:r>
        <w:rPr>
          <w:rStyle w:val="Refdenotaalpie"/>
          <w:rFonts w:ascii="Bookman Old Style" w:hAnsi="Bookman Old Style" w:cs="Calibri"/>
          <w:lang w:val="es-ES"/>
        </w:rPr>
        <w:footnoteReference w:id="26"/>
      </w:r>
      <w:r>
        <w:rPr>
          <w:rFonts w:ascii="Bookman Old Style" w:hAnsi="Bookman Old Style" w:cs="Calibri"/>
          <w:lang w:val="es-ES"/>
        </w:rPr>
        <w:t xml:space="preserve">. La </w:t>
      </w:r>
      <w:r w:rsidRPr="00780580">
        <w:rPr>
          <w:rFonts w:ascii="Bookman Old Style" w:hAnsi="Bookman Old Style" w:cs="Calibri"/>
          <w:i/>
          <w:lang w:val="es-ES"/>
        </w:rPr>
        <w:t>SAFE Banking Act</w:t>
      </w:r>
      <w:r w:rsidRPr="00780580">
        <w:rPr>
          <w:rFonts w:ascii="Bookman Old Style" w:hAnsi="Bookman Old Style" w:cs="Calibri"/>
          <w:lang w:val="es-ES"/>
        </w:rPr>
        <w:t xml:space="preserve">  permitiría que los bancos reciban dineros lícitos de los negocios de marihuana en los estados donde ésta es legal, y prestarles servicios financieros.</w:t>
      </w:r>
      <w:r w:rsidRPr="00780580">
        <w:rPr>
          <w:rStyle w:val="Refdenotaalpie"/>
          <w:rFonts w:ascii="Bookman Old Style" w:hAnsi="Bookman Old Style" w:cs="Calibri"/>
          <w:lang w:val="es-ES"/>
        </w:rPr>
        <w:footnoteReference w:id="27"/>
      </w:r>
      <w:r w:rsidRPr="00780580">
        <w:rPr>
          <w:rFonts w:ascii="Bookman Old Style" w:hAnsi="Bookman Old Style" w:cs="Calibri"/>
          <w:lang w:val="es-ES"/>
        </w:rPr>
        <w:t xml:space="preserve"> </w:t>
      </w:r>
      <w:r>
        <w:rPr>
          <w:rFonts w:ascii="Bookman Old Style" w:hAnsi="Bookman Old Style" w:cs="Calibri"/>
          <w:lang w:val="es-ES"/>
        </w:rPr>
        <w:t>D</w:t>
      </w:r>
      <w:r w:rsidRPr="00780580">
        <w:rPr>
          <w:rFonts w:ascii="Bookman Old Style" w:hAnsi="Bookman Old Style" w:cs="Calibri"/>
          <w:lang w:val="es-ES"/>
        </w:rPr>
        <w:t>e ser aprobado, mejoraría significativamente las circunstancias bajo las que operan estos negocios en Estados Unidos.</w:t>
      </w:r>
      <w:r w:rsidRPr="00780580">
        <w:rPr>
          <w:rStyle w:val="Refdenotaalpie"/>
          <w:rFonts w:ascii="Bookman Old Style" w:hAnsi="Bookman Old Style" w:cs="Calibri"/>
          <w:lang w:val="es-ES"/>
        </w:rPr>
        <w:footnoteReference w:id="28"/>
      </w:r>
    </w:p>
    <w:p w:rsidR="007E2A01" w:rsidRPr="00780580" w:rsidRDefault="007E2A01" w:rsidP="007E2A01">
      <w:pPr>
        <w:jc w:val="both"/>
        <w:rPr>
          <w:rFonts w:ascii="Bookman Old Style" w:hAnsi="Bookman Old Style" w:cs="Calibri"/>
        </w:rPr>
      </w:pPr>
    </w:p>
    <w:p w:rsidR="007E2A01" w:rsidRPr="00780580" w:rsidRDefault="007E2A01" w:rsidP="007E2A01">
      <w:pPr>
        <w:jc w:val="both"/>
        <w:rPr>
          <w:rFonts w:ascii="Bookman Old Style" w:hAnsi="Bookman Old Style" w:cs="Calibri"/>
        </w:rPr>
      </w:pPr>
      <w:r w:rsidRPr="00780580">
        <w:rPr>
          <w:rFonts w:ascii="Bookman Old Style" w:hAnsi="Bookman Old Style" w:cs="Calibri"/>
        </w:rPr>
        <w:t>Es importante resaltar que, de acuerdo con la agencia calificadora de riesgo crediticio Moody´s, los ingresos por impuestos de la regulación de la marihuana recreativa son positivos para los Estados y ciudades de Estados Unidos que han legalizado su consumo.</w:t>
      </w:r>
      <w:r w:rsidRPr="00780580">
        <w:rPr>
          <w:rStyle w:val="Refdenotaalpie"/>
          <w:rFonts w:ascii="Bookman Old Style" w:hAnsi="Bookman Old Style" w:cs="Calibri"/>
        </w:rPr>
        <w:footnoteReference w:id="29"/>
      </w:r>
    </w:p>
    <w:p w:rsidR="007E2A01" w:rsidRPr="00780580" w:rsidRDefault="007E2A01" w:rsidP="007E2A01">
      <w:pPr>
        <w:jc w:val="both"/>
        <w:rPr>
          <w:rFonts w:ascii="Bookman Old Style" w:hAnsi="Bookman Old Style" w:cs="Calibri"/>
        </w:rPr>
      </w:pPr>
    </w:p>
    <w:p w:rsidR="007E2A01" w:rsidRPr="00780580" w:rsidRDefault="007E2A01" w:rsidP="007E2A01">
      <w:pPr>
        <w:jc w:val="both"/>
        <w:rPr>
          <w:rFonts w:ascii="Bookman Old Style" w:hAnsi="Bookman Old Style" w:cs="Calibri"/>
        </w:rPr>
      </w:pPr>
      <w:r w:rsidRPr="00780580">
        <w:rPr>
          <w:rFonts w:ascii="Bookman Old Style" w:hAnsi="Bookman Old Style" w:cs="Calibri"/>
        </w:rPr>
        <w:t>Entonces, regular es una manera de impulsar la economía y generar empleos dentro del marco legal. En Estados Unidos, el consumo de cannabis adulto se ha vuelto un motor económico, según Drug Policy Alliance (2018)</w:t>
      </w:r>
      <w:r w:rsidRPr="00780580">
        <w:rPr>
          <w:rStyle w:val="Refdenotaalpie"/>
          <w:rFonts w:ascii="Bookman Old Style" w:hAnsi="Bookman Old Style" w:cs="Calibri"/>
        </w:rPr>
        <w:footnoteReference w:id="30"/>
      </w:r>
      <w:r w:rsidRPr="00780580">
        <w:rPr>
          <w:rFonts w:ascii="Bookman Old Style" w:hAnsi="Bookman Old Style" w:cs="Calibri"/>
        </w:rPr>
        <w:t>, la industria de la marihuana ha creado entre 165.000 y 230.000 empleos en ese país, cifra que se espera que crezca cuando más Estados legalicen la marihuana y los mercados cuenten con más actores legales.</w:t>
      </w:r>
    </w:p>
    <w:p w:rsidR="007E2A01" w:rsidRPr="00780580" w:rsidRDefault="007E2A01" w:rsidP="007E2A01">
      <w:pPr>
        <w:jc w:val="both"/>
        <w:rPr>
          <w:rFonts w:ascii="Bookman Old Style" w:hAnsi="Bookman Old Style" w:cs="Calibri"/>
        </w:rPr>
      </w:pPr>
    </w:p>
    <w:p w:rsidR="007E2A01" w:rsidRPr="00780580" w:rsidRDefault="007E2A01" w:rsidP="007E2A01">
      <w:pPr>
        <w:jc w:val="both"/>
        <w:rPr>
          <w:rFonts w:ascii="Bookman Old Style" w:hAnsi="Bookman Old Style" w:cs="Calibri"/>
        </w:rPr>
      </w:pPr>
      <w:r w:rsidRPr="00780580">
        <w:rPr>
          <w:rFonts w:ascii="Bookman Old Style" w:hAnsi="Bookman Old Style" w:cs="Calibri"/>
        </w:rPr>
        <w:t xml:space="preserve">Además, un reporte del Congresista Norteamericano E. Blumenauer, señala cómo </w:t>
      </w:r>
      <w:r w:rsidRPr="00780580">
        <w:rPr>
          <w:rFonts w:ascii="Bookman Old Style" w:hAnsi="Bookman Old Style" w:cs="Calibri"/>
        </w:rPr>
        <w:lastRenderedPageBreak/>
        <w:t>la industria de la marihuana se ha convertido en una de las de mayor crecimiento en Estados Unidos</w:t>
      </w:r>
      <w:r w:rsidRPr="00780580">
        <w:rPr>
          <w:rStyle w:val="Refdenotaalpie"/>
          <w:rFonts w:ascii="Bookman Old Style" w:hAnsi="Bookman Old Style" w:cs="Calibri"/>
        </w:rPr>
        <w:footnoteReference w:id="31"/>
      </w:r>
      <w:r w:rsidRPr="00780580">
        <w:rPr>
          <w:rFonts w:ascii="Bookman Old Style" w:hAnsi="Bookman Old Style" w:cs="Calibri"/>
        </w:rPr>
        <w:t xml:space="preserve">. Pues las ventas crecieron de USD $4,6 billones en 2014 a USD 5,5 billones en 2015, y se estiman en USD 7,2 billones en 2017. También, señala el Congresista que la industria de la marihuana podría producir en Estados Unidos alrededor de 300.000 empleos para 2020 y crecer a un monto cercano a los USD $24 billones. </w:t>
      </w:r>
    </w:p>
    <w:p w:rsidR="007E2A01" w:rsidRPr="00780580" w:rsidRDefault="007E2A01" w:rsidP="007E2A01">
      <w:pPr>
        <w:jc w:val="both"/>
        <w:rPr>
          <w:rFonts w:ascii="Bookman Old Style" w:hAnsi="Bookman Old Style" w:cs="Calibri"/>
        </w:rPr>
      </w:pPr>
    </w:p>
    <w:p w:rsidR="007E2A01" w:rsidRPr="00780580" w:rsidRDefault="007E2A01" w:rsidP="007E2A01">
      <w:pPr>
        <w:pStyle w:val="Sinespaciado"/>
        <w:jc w:val="both"/>
        <w:rPr>
          <w:rFonts w:ascii="Bookman Old Style" w:hAnsi="Bookman Old Style"/>
        </w:rPr>
      </w:pPr>
      <w:r w:rsidRPr="00780580">
        <w:rPr>
          <w:rFonts w:ascii="Bookman Old Style" w:hAnsi="Bookman Old Style"/>
        </w:rPr>
        <w:t>Debemos tener en cuenta que, muchos de los recursos generados por la industria de la marihuana en Estados Unidos ahora están ocurriendo en un mercado legal en el cual pagan impuestos y existe una regulación. Lo anterior es de gran importancia, pues permite debilitar estructuras ilegales que se benefician de los mercados generados por la ilegalidad de ciertas sustancias.</w:t>
      </w:r>
    </w:p>
    <w:p w:rsidR="007E2A01" w:rsidRPr="00780580" w:rsidRDefault="007E2A01" w:rsidP="007E2A01">
      <w:pPr>
        <w:pStyle w:val="Sinespaciado"/>
        <w:jc w:val="both"/>
        <w:rPr>
          <w:rFonts w:ascii="Bookman Old Style" w:hAnsi="Bookman Old Style"/>
          <w:b/>
        </w:rPr>
      </w:pPr>
      <w:bookmarkStart w:id="1" w:name="_Toc5023212"/>
    </w:p>
    <w:p w:rsidR="007E2A01" w:rsidRPr="00780580" w:rsidRDefault="007E2A01" w:rsidP="007E2A01">
      <w:pPr>
        <w:pStyle w:val="Sinespaciado"/>
        <w:jc w:val="both"/>
        <w:rPr>
          <w:rFonts w:ascii="Bookman Old Style" w:hAnsi="Bookman Old Style"/>
          <w:b/>
        </w:rPr>
      </w:pPr>
      <w:r w:rsidRPr="00780580">
        <w:rPr>
          <w:rFonts w:ascii="Bookman Old Style" w:hAnsi="Bookman Old Style"/>
        </w:rPr>
        <w:t xml:space="preserve">Por tanto, es importante pensar la regulación como una herramienta para desfinanciar economías ilegales, que en Colombia por más esfuerzos que hemos hecho no se ha podido lograr. </w:t>
      </w:r>
      <w:bookmarkEnd w:id="1"/>
    </w:p>
    <w:p w:rsidR="007E2A01" w:rsidRPr="00780580" w:rsidRDefault="007E2A01" w:rsidP="007E2A01">
      <w:pPr>
        <w:pStyle w:val="Sinespaciado"/>
        <w:jc w:val="both"/>
        <w:rPr>
          <w:rFonts w:ascii="Bookman Old Style" w:hAnsi="Bookman Old Style"/>
        </w:rPr>
      </w:pPr>
    </w:p>
    <w:p w:rsidR="007E2A01" w:rsidRPr="00780580" w:rsidRDefault="007E2A01" w:rsidP="007E2A01">
      <w:pPr>
        <w:pStyle w:val="Sinespaciado"/>
        <w:jc w:val="both"/>
        <w:rPr>
          <w:rFonts w:ascii="Bookman Old Style" w:hAnsi="Bookman Old Style"/>
        </w:rPr>
      </w:pPr>
      <w:r w:rsidRPr="00780580">
        <w:rPr>
          <w:rFonts w:ascii="Bookman Old Style" w:hAnsi="Bookman Old Style"/>
        </w:rPr>
        <w:t>La regulación del consumo de la marihuana puede ser una herramienta para debilitar las organizaciones delictivas que se benefician de las economías ilegales que se desarrollan alrededor de esta actividad. El primer ministro de Canadá, Justin Trudeau, mencionó en una conferencia económica en 2016, que entre sus dos principales razones para regular la marihuana en Canadá está evitar que billones de billones de dólares vayan a los bolsillos del crimen organizado como parte del comercio ilegal de marihuana en su país, y así reducir significativamente el crimen</w:t>
      </w:r>
      <w:r w:rsidRPr="00780580">
        <w:rPr>
          <w:rStyle w:val="Refdenotaalpie"/>
          <w:rFonts w:ascii="Bookman Old Style" w:hAnsi="Bookman Old Style" w:cs="Calibri"/>
        </w:rPr>
        <w:footnoteReference w:id="32"/>
      </w:r>
      <w:r w:rsidRPr="00780580">
        <w:rPr>
          <w:rFonts w:ascii="Bookman Old Style" w:hAnsi="Bookman Old Style"/>
        </w:rPr>
        <w:t xml:space="preserve">. </w:t>
      </w:r>
    </w:p>
    <w:p w:rsidR="007E2A01" w:rsidRPr="00780580" w:rsidRDefault="007E2A01" w:rsidP="007E2A01">
      <w:pPr>
        <w:jc w:val="both"/>
        <w:rPr>
          <w:rFonts w:ascii="Bookman Old Style" w:hAnsi="Bookman Old Style" w:cs="Calibri"/>
        </w:rPr>
      </w:pPr>
    </w:p>
    <w:p w:rsidR="007E2A01" w:rsidRPr="00780580" w:rsidRDefault="007E2A01" w:rsidP="007E2A01">
      <w:pPr>
        <w:jc w:val="both"/>
        <w:rPr>
          <w:rFonts w:ascii="Bookman Old Style" w:hAnsi="Bookman Old Style" w:cs="Calibri"/>
        </w:rPr>
      </w:pPr>
      <w:r w:rsidRPr="00780580">
        <w:rPr>
          <w:rFonts w:ascii="Bookman Old Style" w:hAnsi="Bookman Old Style" w:cs="Calibri"/>
        </w:rPr>
        <w:t>La Comisión Global de Políticas de Drogas</w:t>
      </w:r>
      <w:r w:rsidRPr="00780580">
        <w:rPr>
          <w:rStyle w:val="Refdenotaalpie"/>
          <w:rFonts w:ascii="Bookman Old Style" w:hAnsi="Bookman Old Style" w:cs="Calibri"/>
        </w:rPr>
        <w:footnoteReference w:id="33"/>
      </w:r>
      <w:r w:rsidRPr="00780580">
        <w:rPr>
          <w:rFonts w:ascii="Bookman Old Style" w:hAnsi="Bookman Old Style" w:cs="Calibri"/>
        </w:rPr>
        <w:t>, en su informe “</w:t>
      </w:r>
      <w:r w:rsidRPr="00780580">
        <w:rPr>
          <w:rFonts w:ascii="Bookman Old Style" w:hAnsi="Bookman Old Style" w:cs="Calibri"/>
          <w:i/>
          <w:iCs/>
        </w:rPr>
        <w:t>Regulación: El Control Responsable de las Drogas</w:t>
      </w:r>
      <w:r w:rsidRPr="00780580">
        <w:rPr>
          <w:rFonts w:ascii="Bookman Old Style" w:hAnsi="Bookman Old Style" w:cs="Calibri"/>
        </w:rPr>
        <w:t>”</w:t>
      </w:r>
      <w:r w:rsidRPr="00780580">
        <w:rPr>
          <w:rStyle w:val="Refdenotaalpie"/>
          <w:rFonts w:ascii="Bookman Old Style" w:hAnsi="Bookman Old Style" w:cs="Calibri"/>
        </w:rPr>
        <w:footnoteReference w:id="34"/>
      </w:r>
      <w:r w:rsidRPr="00780580">
        <w:rPr>
          <w:rFonts w:ascii="Bookman Old Style" w:hAnsi="Bookman Old Style" w:cs="Calibri"/>
        </w:rPr>
        <w:t xml:space="preserve">, menciona que la regulación de las drogas debe ser incremental – </w:t>
      </w:r>
      <w:r w:rsidRPr="00780580">
        <w:rPr>
          <w:rFonts w:ascii="Bookman Old Style" w:hAnsi="Bookman Old Style" w:cs="Calibri"/>
          <w:i/>
        </w:rPr>
        <w:t>iniciando con drogas de menor potencia</w:t>
      </w:r>
      <w:r w:rsidRPr="00780580">
        <w:rPr>
          <w:rFonts w:ascii="Bookman Old Style" w:hAnsi="Bookman Old Style" w:cs="Calibri"/>
        </w:rPr>
        <w:t xml:space="preserve"> – y que puede ser un camino para desempoderar al crimen organizado. Asimismo, menciona cómo la regulación es una oportunidad para un desarrollo alternativo de poblaciones vulnerables, al generar espacios para negocios legales, a través de canales reglamentados para suplir la demanda que desplazan los canales ilegales.</w:t>
      </w:r>
    </w:p>
    <w:p w:rsidR="007E2A01" w:rsidRPr="00780580" w:rsidRDefault="007E2A01" w:rsidP="007E2A01">
      <w:pPr>
        <w:jc w:val="both"/>
        <w:rPr>
          <w:rFonts w:ascii="Bookman Old Style" w:hAnsi="Bookman Old Style" w:cs="Calibri"/>
        </w:rPr>
      </w:pPr>
    </w:p>
    <w:p w:rsidR="007E2A01" w:rsidRPr="00780580" w:rsidRDefault="007E2A01" w:rsidP="007E2A01">
      <w:pPr>
        <w:jc w:val="both"/>
        <w:rPr>
          <w:rFonts w:ascii="Bookman Old Style" w:hAnsi="Bookman Old Style" w:cs="Calibri"/>
        </w:rPr>
      </w:pPr>
      <w:r w:rsidRPr="00780580">
        <w:rPr>
          <w:rFonts w:ascii="Bookman Old Style" w:hAnsi="Bookman Old Style" w:cs="Calibri"/>
        </w:rPr>
        <w:t xml:space="preserve">Más importante aún, señala el informe, es el hecho de que los impactos que puede </w:t>
      </w:r>
      <w:r w:rsidRPr="00780580">
        <w:rPr>
          <w:rFonts w:ascii="Bookman Old Style" w:hAnsi="Bookman Old Style" w:cs="Calibri"/>
        </w:rPr>
        <w:lastRenderedPageBreak/>
        <w:t>tener y ha tenido la lucha contra las drogas, como ha sido planteada hasta ahora, son marginales sobre los índices de consumo y comercialización, pues “</w:t>
      </w:r>
      <w:r w:rsidRPr="00780580">
        <w:rPr>
          <w:rFonts w:ascii="Bookman Old Style" w:hAnsi="Bookman Old Style" w:cs="Calibri"/>
          <w:i/>
          <w:iCs/>
        </w:rPr>
        <w:t>las leyes económicas de la oferta y la demanda no se rompen tan fácilmente</w:t>
      </w:r>
      <w:r w:rsidRPr="00780580">
        <w:rPr>
          <w:rFonts w:ascii="Bookman Old Style" w:hAnsi="Bookman Old Style" w:cs="Calibri"/>
        </w:rPr>
        <w:t>” .</w:t>
      </w:r>
      <w:r w:rsidRPr="00780580">
        <w:rPr>
          <w:rStyle w:val="Refdenotaalpie"/>
          <w:rFonts w:ascii="Bookman Old Style" w:hAnsi="Bookman Old Style" w:cs="Calibri"/>
        </w:rPr>
        <w:footnoteReference w:id="35"/>
      </w:r>
      <w:r w:rsidRPr="00780580">
        <w:rPr>
          <w:rFonts w:ascii="Bookman Old Style" w:hAnsi="Bookman Old Style" w:cs="Calibri"/>
        </w:rPr>
        <w:t xml:space="preserve"> Es decir que, en el caso que el suministro de cierta droga se vea disminuido por mayor persecución o actividad policiva, esto solamente se va a ver reflejado en costos más altos de los productos ilegales o en productos de menor pureza en el mercado. Igualmente, los mayores precios en el mercado atraen nuevos actores al negocio de las drogas ilegales, pues a partir de la prohibición se generan retornos más altos, si bien existen mayores riesgos. </w:t>
      </w:r>
    </w:p>
    <w:p w:rsidR="007E2A01" w:rsidRPr="00780580" w:rsidRDefault="007E2A01" w:rsidP="007E2A01">
      <w:pPr>
        <w:jc w:val="both"/>
        <w:rPr>
          <w:rFonts w:ascii="Bookman Old Style" w:hAnsi="Bookman Old Style" w:cs="Calibri"/>
        </w:rPr>
      </w:pPr>
    </w:p>
    <w:p w:rsidR="007E2A01" w:rsidRPr="00780580" w:rsidRDefault="007E2A01" w:rsidP="007E2A01">
      <w:pPr>
        <w:pStyle w:val="Sinespaciado"/>
        <w:jc w:val="both"/>
        <w:rPr>
          <w:rFonts w:ascii="Bookman Old Style" w:hAnsi="Bookman Old Style"/>
        </w:rPr>
      </w:pPr>
      <w:r w:rsidRPr="00780580">
        <w:rPr>
          <w:rFonts w:ascii="Bookman Old Style" w:hAnsi="Bookman Old Style"/>
        </w:rPr>
        <w:t>Al disminuir el retorno y beneficio al que pueden acceder actores ilegales en el mercado de las drogas, se debilita el crimen organizado y se desarticulan canales que sustentan estas economías. Es importante mencionar que, la economía ilegal de las drogas trabaja en conexión con otras actividades delictivas, por lo que una disminución en el tráfico de drogas, como lo que se espera sucedería con la regulación del uso adulto de la marihuana, podría tener repercusiones importantes sobre otras actividades delictivas. De acuerdo con la OEA las actividades conexas al tráfico de drogas son: “</w:t>
      </w:r>
      <w:r w:rsidRPr="00780580">
        <w:rPr>
          <w:rFonts w:ascii="Bookman Old Style" w:hAnsi="Bookman Old Style"/>
          <w:i/>
        </w:rPr>
        <w:t>el tráfico internacional de armas, contrabando, falsificación y tráfico de personas, el control y la explotación doméstica del trabajo sexual, el robo y la venta de bienes robados, secuestro, extorsión y victimización de migrantes”</w:t>
      </w:r>
      <w:r w:rsidRPr="00780580">
        <w:rPr>
          <w:rFonts w:ascii="Bookman Old Style" w:hAnsi="Bookman Old Style"/>
        </w:rPr>
        <w:t>.</w:t>
      </w:r>
      <w:r w:rsidRPr="00780580">
        <w:rPr>
          <w:rStyle w:val="Refdenotaalpie"/>
          <w:rFonts w:ascii="Bookman Old Style" w:hAnsi="Bookman Old Style" w:cs="Calibri"/>
        </w:rPr>
        <w:footnoteReference w:id="36"/>
      </w:r>
    </w:p>
    <w:p w:rsidR="007E2A01" w:rsidRPr="00780580" w:rsidRDefault="007E2A01" w:rsidP="007E2A01">
      <w:pPr>
        <w:pStyle w:val="Sinespaciado"/>
        <w:jc w:val="both"/>
        <w:rPr>
          <w:rFonts w:ascii="Bookman Old Style" w:hAnsi="Bookman Old Style"/>
        </w:rPr>
      </w:pPr>
      <w:bookmarkStart w:id="2" w:name="_Toc5023213"/>
    </w:p>
    <w:p w:rsidR="007E2A01" w:rsidRPr="00780580" w:rsidRDefault="007E2A01" w:rsidP="007E2A01">
      <w:pPr>
        <w:pStyle w:val="Sinespaciado"/>
        <w:jc w:val="both"/>
        <w:rPr>
          <w:rFonts w:ascii="Bookman Old Style" w:hAnsi="Bookman Old Style"/>
          <w:lang w:val="es-ES"/>
        </w:rPr>
      </w:pPr>
      <w:r w:rsidRPr="00780580">
        <w:rPr>
          <w:rFonts w:ascii="Bookman Old Style" w:hAnsi="Bookman Old Style"/>
          <w:lang w:val="es-ES"/>
        </w:rPr>
        <w:t>En marzo de 2020, Canadá hizo un balance de su política de salud pública de regulación del uso recreacional del cannabis ante la Comisión de Estupefacientes de las Naciones Unidas.</w:t>
      </w:r>
      <w:r w:rsidRPr="00780580">
        <w:rPr>
          <w:rStyle w:val="Refdenotaalpie"/>
          <w:rFonts w:ascii="Bookman Old Style" w:hAnsi="Bookman Old Style" w:cs="Calibri"/>
          <w:lang w:val="es-ES"/>
        </w:rPr>
        <w:footnoteReference w:id="37"/>
      </w:r>
      <w:r w:rsidRPr="00780580">
        <w:rPr>
          <w:rFonts w:ascii="Bookman Old Style" w:hAnsi="Bookman Old Style"/>
          <w:lang w:val="es-ES"/>
        </w:rPr>
        <w:t xml:space="preserve"> Casi un año después de la implementación de la medida, se tienen los siguientes resultados alentadores: </w:t>
      </w:r>
    </w:p>
    <w:p w:rsidR="007E2A01" w:rsidRPr="00780580" w:rsidRDefault="007E2A01" w:rsidP="007E2A01">
      <w:pPr>
        <w:pStyle w:val="Sinespaciado"/>
        <w:jc w:val="both"/>
        <w:rPr>
          <w:rFonts w:ascii="Bookman Old Style" w:hAnsi="Bookman Old Style"/>
          <w:lang w:val="es-ES"/>
        </w:rPr>
      </w:pPr>
    </w:p>
    <w:p w:rsidR="007E2A01" w:rsidRPr="00780580" w:rsidRDefault="007E2A01" w:rsidP="007E2A01">
      <w:pPr>
        <w:pStyle w:val="Sinespaciado"/>
        <w:widowControl w:val="0"/>
        <w:numPr>
          <w:ilvl w:val="0"/>
          <w:numId w:val="40"/>
        </w:numPr>
        <w:jc w:val="both"/>
        <w:rPr>
          <w:rFonts w:ascii="Bookman Old Style" w:hAnsi="Bookman Old Style"/>
          <w:lang w:val="es-ES"/>
        </w:rPr>
      </w:pPr>
      <w:r w:rsidRPr="00780580">
        <w:rPr>
          <w:rFonts w:ascii="Bookman Old Style" w:hAnsi="Bookman Old Style"/>
          <w:lang w:val="es-ES"/>
        </w:rPr>
        <w:t>El mercado ilegal ya ha perdido un 30% de su participación y no se ha visto un incremento del mercado total del cannabis. Esto representa alrededor de USD 2$ billones en ventas que no pasaron por organizaciones criminales.</w:t>
      </w:r>
    </w:p>
    <w:p w:rsidR="007E2A01" w:rsidRPr="00780580" w:rsidRDefault="007E2A01" w:rsidP="007E2A01">
      <w:pPr>
        <w:pStyle w:val="Sinespaciado"/>
        <w:widowControl w:val="0"/>
        <w:numPr>
          <w:ilvl w:val="0"/>
          <w:numId w:val="40"/>
        </w:numPr>
        <w:jc w:val="both"/>
        <w:rPr>
          <w:rFonts w:ascii="Bookman Old Style" w:hAnsi="Bookman Old Style"/>
          <w:lang w:val="es-ES"/>
        </w:rPr>
      </w:pPr>
      <w:r w:rsidRPr="00780580">
        <w:rPr>
          <w:rFonts w:ascii="Bookman Old Style" w:hAnsi="Bookman Old Style"/>
          <w:lang w:val="es-ES"/>
        </w:rPr>
        <w:t>Los datos preliminares no muestran un incremento en el uso del cannabis por parte de los jóvenes y adultos jóvenes.</w:t>
      </w:r>
    </w:p>
    <w:p w:rsidR="007E2A01" w:rsidRPr="00780580" w:rsidRDefault="007E2A01" w:rsidP="007E2A01">
      <w:pPr>
        <w:pStyle w:val="Sinespaciado"/>
        <w:widowControl w:val="0"/>
        <w:numPr>
          <w:ilvl w:val="0"/>
          <w:numId w:val="40"/>
        </w:numPr>
        <w:jc w:val="both"/>
        <w:rPr>
          <w:rFonts w:ascii="Bookman Old Style" w:hAnsi="Bookman Old Style"/>
          <w:lang w:val="es-ES"/>
        </w:rPr>
      </w:pPr>
      <w:r w:rsidRPr="00780580">
        <w:rPr>
          <w:rFonts w:ascii="Bookman Old Style" w:hAnsi="Bookman Old Style"/>
          <w:lang w:val="es-ES"/>
        </w:rPr>
        <w:t xml:space="preserve">No se ha observado un incremento en el tráfico ilegal de cannabis a través de las fronteras internacionales. </w:t>
      </w:r>
    </w:p>
    <w:p w:rsidR="007E2A01" w:rsidRPr="00780580" w:rsidRDefault="007E2A01" w:rsidP="007E2A01">
      <w:pPr>
        <w:pStyle w:val="Sinespaciado"/>
        <w:jc w:val="both"/>
        <w:rPr>
          <w:rFonts w:ascii="Bookman Old Style" w:hAnsi="Bookman Old Style"/>
          <w:lang w:val="es-ES"/>
        </w:rPr>
      </w:pPr>
    </w:p>
    <w:p w:rsidR="007E2A01" w:rsidRPr="00780580" w:rsidRDefault="007E2A01" w:rsidP="007E2A01">
      <w:pPr>
        <w:pStyle w:val="Sinespaciado"/>
        <w:jc w:val="both"/>
        <w:rPr>
          <w:rFonts w:ascii="Bookman Old Style" w:hAnsi="Bookman Old Style"/>
          <w:b/>
        </w:rPr>
      </w:pPr>
      <w:r w:rsidRPr="00780580">
        <w:rPr>
          <w:rFonts w:ascii="Bookman Old Style" w:hAnsi="Bookman Old Style"/>
        </w:rPr>
        <w:t>Por otro lado, en Latinoamérica la experiencia de Uruguay es destacable pues ha tenido una lucha con el mercado negro a través de precios del mercado.</w:t>
      </w:r>
      <w:bookmarkEnd w:id="2"/>
      <w:r w:rsidRPr="00780580">
        <w:rPr>
          <w:rFonts w:ascii="Bookman Old Style" w:hAnsi="Bookman Old Style"/>
        </w:rPr>
        <w:t xml:space="preserve"> Con la regulación del uso adulto del cannabis, este país ha dado lecciones de una política de regulación estatal basada en el precio de una sustancia controlada en el mercado ilegal. En Uruguay las farmacias actúan como puntos de venta de la marihuana producida por las compañías que tienen autorización estatal y pueden vender hasta 40g al mes a los compradores. Además, existe la alternativa de formar clubes de marihuana, los cuales tienen permitido cultivar hasta 480g al año por persona. </w:t>
      </w:r>
    </w:p>
    <w:p w:rsidR="007E2A01" w:rsidRPr="00780580" w:rsidRDefault="007E2A01" w:rsidP="007E2A01">
      <w:pPr>
        <w:pStyle w:val="Sinespaciado"/>
        <w:jc w:val="both"/>
        <w:rPr>
          <w:rFonts w:ascii="Bookman Old Style" w:hAnsi="Bookman Old Style"/>
          <w:b/>
        </w:rPr>
      </w:pPr>
    </w:p>
    <w:p w:rsidR="007E2A01" w:rsidRPr="00780580" w:rsidRDefault="007E2A01" w:rsidP="007E2A01">
      <w:pPr>
        <w:pStyle w:val="Sinespaciado"/>
        <w:jc w:val="both"/>
        <w:rPr>
          <w:rFonts w:ascii="Bookman Old Style" w:hAnsi="Bookman Old Style"/>
          <w:b/>
        </w:rPr>
      </w:pPr>
      <w:r w:rsidRPr="00780580">
        <w:rPr>
          <w:rFonts w:ascii="Bookman Old Style" w:hAnsi="Bookman Old Style"/>
        </w:rPr>
        <w:lastRenderedPageBreak/>
        <w:t>Dichas opciones de compra y producción legales han representado un fuerte golpe a las economías al margen de la ley. El Instituto de Regulación y Control del Cannabis de Uruguay (IRCCA) en su reporte</w:t>
      </w:r>
      <w:r w:rsidRPr="00780580">
        <w:rPr>
          <w:rStyle w:val="Refdenotaalpie"/>
          <w:rFonts w:ascii="Bookman Old Style" w:hAnsi="Bookman Old Style" w:cs="Calibri"/>
        </w:rPr>
        <w:footnoteReference w:id="38"/>
      </w:r>
      <w:r w:rsidRPr="00780580">
        <w:rPr>
          <w:rFonts w:ascii="Bookman Old Style" w:hAnsi="Bookman Old Style"/>
        </w:rPr>
        <w:t xml:space="preserve"> para abril de 2020 indica que alrededor del 22% de los usuarios de marihuana participan en el mercado regulado. Según el reporte del IRCCA, el número de personas en el mercado regulado (ver Gráfico 1) muestra una tendencia ascendente, lo que indica que el mercado legal gana cada vez más espacio.</w:t>
      </w:r>
      <w:r w:rsidRPr="00780580">
        <w:rPr>
          <w:rStyle w:val="Refdenotaalpie"/>
          <w:rFonts w:ascii="Bookman Old Style" w:hAnsi="Bookman Old Style" w:cs="Calibri"/>
        </w:rPr>
        <w:t xml:space="preserve"> </w:t>
      </w:r>
      <w:r w:rsidRPr="00780580">
        <w:rPr>
          <w:rFonts w:ascii="Bookman Old Style" w:hAnsi="Bookman Old Style"/>
        </w:rPr>
        <w:t>Lo anterior es de gran importancia, pues las estructuras ilegales de comercio de marihuana se están viendo directamente afectadas a través de la pérdida de clientes que deciden participar en los canales legales. La compra promedio en los últimos 4 meses se encontraba según dicho reporte entre 15 y 16 gramos, muy por debajo del máximo permitido de 40 gramos.</w:t>
      </w:r>
      <w:r w:rsidRPr="00780580">
        <w:rPr>
          <w:rStyle w:val="Refdenotaalpie"/>
          <w:rFonts w:ascii="Bookman Old Style" w:hAnsi="Bookman Old Style" w:cs="Calibri"/>
        </w:rPr>
        <w:footnoteReference w:id="39"/>
      </w:r>
      <w:r w:rsidRPr="00780580">
        <w:rPr>
          <w:rFonts w:ascii="Bookman Old Style" w:hAnsi="Bookman Old Style"/>
        </w:rPr>
        <w:t xml:space="preserve"> Se registra que el principal problema ha sido la oferta, que no logra suplir toda la demanda, lo que se espera solucionar con las nuevas licencias otorgadas. Se espera que el mayor número de licencia logre aumentar la participación del mercado legal de marihuana en el país. </w:t>
      </w:r>
    </w:p>
    <w:p w:rsidR="007E2A01" w:rsidRPr="00780580" w:rsidRDefault="007E2A01" w:rsidP="007E2A01">
      <w:pPr>
        <w:rPr>
          <w:rFonts w:ascii="Bookman Old Style" w:hAnsi="Bookman Old Style"/>
        </w:rPr>
      </w:pPr>
    </w:p>
    <w:p w:rsidR="007E2A01" w:rsidRPr="00780580" w:rsidRDefault="007E2A01" w:rsidP="007E2A01">
      <w:pPr>
        <w:jc w:val="center"/>
        <w:rPr>
          <w:rFonts w:ascii="Bookman Old Style" w:hAnsi="Bookman Old Style"/>
        </w:rPr>
      </w:pPr>
      <w:r w:rsidRPr="00780580">
        <w:rPr>
          <w:rFonts w:ascii="Bookman Old Style" w:hAnsi="Bookman Old Style"/>
          <w:b/>
        </w:rPr>
        <w:t>Gráfico 3.</w:t>
      </w:r>
      <w:r w:rsidRPr="00780580">
        <w:rPr>
          <w:rFonts w:ascii="Bookman Old Style" w:hAnsi="Bookman Old Style"/>
        </w:rPr>
        <w:t xml:space="preserve"> </w:t>
      </w:r>
    </w:p>
    <w:p w:rsidR="007E2A01" w:rsidRPr="00780580" w:rsidRDefault="007E2A01" w:rsidP="007E2A01">
      <w:pPr>
        <w:jc w:val="center"/>
        <w:rPr>
          <w:rFonts w:ascii="Bookman Old Style" w:hAnsi="Bookman Old Style"/>
          <w:b/>
        </w:rPr>
      </w:pPr>
      <w:r w:rsidRPr="00780580">
        <w:rPr>
          <w:rFonts w:ascii="Bookman Old Style" w:hAnsi="Bookman Old Style"/>
          <w:b/>
        </w:rPr>
        <w:t xml:space="preserve">Evolución de los registros totales en el mercado regulado </w:t>
      </w:r>
    </w:p>
    <w:p w:rsidR="007E2A01" w:rsidRPr="00780580" w:rsidRDefault="007E2A01" w:rsidP="007E2A01">
      <w:pPr>
        <w:jc w:val="center"/>
        <w:rPr>
          <w:rFonts w:ascii="Bookman Old Style" w:hAnsi="Bookman Old Style"/>
          <w:b/>
        </w:rPr>
      </w:pPr>
      <w:r w:rsidRPr="00780580">
        <w:rPr>
          <w:rFonts w:ascii="Bookman Old Style" w:hAnsi="Bookman Old Style"/>
          <w:b/>
        </w:rPr>
        <w:t>según fecha de informes realizados.</w:t>
      </w:r>
    </w:p>
    <w:p w:rsidR="007E2A01" w:rsidRPr="00780580" w:rsidRDefault="007E2A01" w:rsidP="007E2A01">
      <w:pPr>
        <w:pStyle w:val="Ttulo2"/>
        <w:ind w:left="0"/>
        <w:jc w:val="both"/>
        <w:rPr>
          <w:rFonts w:ascii="Bookman Old Style" w:hAnsi="Bookman Old Style" w:cs="Calibri"/>
          <w:b w:val="0"/>
          <w:sz w:val="22"/>
          <w:szCs w:val="22"/>
        </w:rPr>
      </w:pPr>
    </w:p>
    <w:p w:rsidR="007E2A01" w:rsidRPr="00780580" w:rsidRDefault="007E2A01" w:rsidP="007E2A01">
      <w:pPr>
        <w:rPr>
          <w:rFonts w:ascii="Bookman Old Style" w:hAnsi="Bookman Old Style"/>
        </w:rPr>
      </w:pPr>
      <w:r w:rsidRPr="00780580">
        <w:rPr>
          <w:rFonts w:ascii="Bookman Old Style" w:hAnsi="Bookman Old Style"/>
          <w:noProof/>
        </w:rPr>
        <w:drawing>
          <wp:inline distT="0" distB="0" distL="0" distR="0" wp14:anchorId="0475AEB0" wp14:editId="31BB3B07">
            <wp:extent cx="5593623" cy="2457450"/>
            <wp:effectExtent l="19050" t="0" r="7077" b="0"/>
            <wp:docPr id="2" name="Picture 2" descr="../Desktop/Screen%20Shot%202020-07-09%20at%2019.48.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20Shot%202020-07-09%20at%2019.48.4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03875" cy="2461954"/>
                    </a:xfrm>
                    <a:prstGeom prst="rect">
                      <a:avLst/>
                    </a:prstGeom>
                    <a:noFill/>
                    <a:ln>
                      <a:noFill/>
                    </a:ln>
                  </pic:spPr>
                </pic:pic>
              </a:graphicData>
            </a:graphic>
          </wp:inline>
        </w:drawing>
      </w:r>
    </w:p>
    <w:p w:rsidR="007E2A01" w:rsidRPr="00780580" w:rsidRDefault="007E2A01" w:rsidP="007E2A01">
      <w:pPr>
        <w:rPr>
          <w:rFonts w:ascii="Bookman Old Style" w:hAnsi="Bookman Old Style"/>
          <w:b/>
        </w:rPr>
      </w:pPr>
    </w:p>
    <w:p w:rsidR="007E2A01" w:rsidRPr="00780580" w:rsidRDefault="007E2A01" w:rsidP="007E2A01">
      <w:pPr>
        <w:pStyle w:val="Sinespaciado"/>
        <w:jc w:val="both"/>
        <w:rPr>
          <w:rFonts w:ascii="Bookman Old Style" w:hAnsi="Bookman Old Style"/>
          <w:b/>
        </w:rPr>
      </w:pPr>
      <w:r w:rsidRPr="00780580">
        <w:rPr>
          <w:rFonts w:ascii="Bookman Old Style" w:hAnsi="Bookman Old Style"/>
        </w:rPr>
        <w:t>Lo anterior se ha logrado dado que el Gobierno fija el precio de la marihuana legal y lo fija en línea al del mercado negro, por lo que no existen grandes incentivos para que dicho mercado prospere. Actualmente el precio de 1 gramo de marihuana se encuentra en $53 Pesos uruguayos, es decir alrededor de USD $1.2.</w:t>
      </w:r>
      <w:r w:rsidRPr="00780580">
        <w:rPr>
          <w:rStyle w:val="Refdenotaalpie"/>
          <w:rFonts w:ascii="Bookman Old Style" w:hAnsi="Bookman Old Style" w:cs="Calibri"/>
        </w:rPr>
        <w:footnoteReference w:id="40"/>
      </w:r>
      <w:r w:rsidRPr="00780580">
        <w:rPr>
          <w:rFonts w:ascii="Bookman Old Style" w:hAnsi="Bookman Old Style"/>
        </w:rPr>
        <w:t xml:space="preserve"> </w:t>
      </w:r>
    </w:p>
    <w:p w:rsidR="007E2A01" w:rsidRPr="00780580" w:rsidRDefault="007E2A01" w:rsidP="007E2A01">
      <w:pPr>
        <w:pStyle w:val="Sinespaciado"/>
        <w:jc w:val="both"/>
        <w:rPr>
          <w:rFonts w:ascii="Bookman Old Style" w:hAnsi="Bookman Old Style"/>
          <w:b/>
        </w:rPr>
      </w:pPr>
    </w:p>
    <w:p w:rsidR="007E2A01" w:rsidRPr="00780580" w:rsidRDefault="007E2A01" w:rsidP="007E2A01">
      <w:pPr>
        <w:pStyle w:val="Sinespaciado"/>
        <w:jc w:val="both"/>
        <w:rPr>
          <w:rFonts w:ascii="Bookman Old Style" w:hAnsi="Bookman Old Style"/>
        </w:rPr>
      </w:pPr>
      <w:r w:rsidRPr="00780580">
        <w:rPr>
          <w:rFonts w:ascii="Bookman Old Style" w:hAnsi="Bookman Old Style"/>
        </w:rPr>
        <w:t xml:space="preserve">Otro punto importante es que la regulación de la marihuana para uso adulto puede llevar a que los países ahorren importantes recursos en políticas punitivas y </w:t>
      </w:r>
      <w:r w:rsidRPr="00780580">
        <w:rPr>
          <w:rFonts w:ascii="Bookman Old Style" w:hAnsi="Bookman Old Style"/>
        </w:rPr>
        <w:lastRenderedPageBreak/>
        <w:t>sobrepoblación carcelaria.</w:t>
      </w:r>
      <w:r w:rsidRPr="00780580">
        <w:rPr>
          <w:rStyle w:val="Refdenotaalpie"/>
          <w:rFonts w:ascii="Bookman Old Style" w:hAnsi="Bookman Old Style" w:cs="Calibri"/>
        </w:rPr>
        <w:footnoteReference w:id="41"/>
      </w:r>
      <w:r w:rsidRPr="00780580">
        <w:rPr>
          <w:rFonts w:ascii="Bookman Old Style" w:hAnsi="Bookman Old Style"/>
        </w:rPr>
        <w:t xml:space="preserve"> Estados Unidos, por ejemplo, lo ha logrado pues cuando se dio la regulación, disminuyeron significativamente los arrestos por posesión de drogas.</w:t>
      </w:r>
      <w:r w:rsidRPr="00780580">
        <w:rPr>
          <w:rStyle w:val="Refdenotaalpie"/>
          <w:rFonts w:ascii="Bookman Old Style" w:hAnsi="Bookman Old Style" w:cs="Calibri"/>
        </w:rPr>
        <w:footnoteReference w:id="42"/>
      </w:r>
      <w:r w:rsidRPr="00780580">
        <w:rPr>
          <w:rFonts w:ascii="Bookman Old Style" w:hAnsi="Bookman Old Style"/>
        </w:rPr>
        <w:t xml:space="preserve"> Los expedientes judiciales para los Estados de Washington y Colorado entre 2011 y 2015 bajaron respectivamente 98% y 81%. Y los arrestos por posesión de marihuana han disminuido significativamente de la siguiente manera:</w:t>
      </w:r>
      <w:r w:rsidRPr="00780580">
        <w:rPr>
          <w:rStyle w:val="Refdenotaalpie"/>
          <w:rFonts w:ascii="Bookman Old Style" w:hAnsi="Bookman Old Style" w:cs="Calibri"/>
        </w:rPr>
        <w:footnoteReference w:id="43"/>
      </w:r>
    </w:p>
    <w:p w:rsidR="007E2A01" w:rsidRPr="00780580" w:rsidRDefault="007E2A01" w:rsidP="007E2A01">
      <w:pPr>
        <w:pStyle w:val="Sinespaciado"/>
        <w:jc w:val="both"/>
        <w:rPr>
          <w:rFonts w:ascii="Bookman Old Style" w:hAnsi="Bookman Old Style" w:cs="Calibri"/>
        </w:rPr>
      </w:pPr>
    </w:p>
    <w:p w:rsidR="007E2A01" w:rsidRPr="00780580" w:rsidRDefault="007E2A01" w:rsidP="007E2A01">
      <w:pPr>
        <w:pStyle w:val="Sinespaciado"/>
        <w:widowControl w:val="0"/>
        <w:numPr>
          <w:ilvl w:val="0"/>
          <w:numId w:val="39"/>
        </w:numPr>
        <w:jc w:val="both"/>
        <w:rPr>
          <w:rFonts w:ascii="Bookman Old Style" w:hAnsi="Bookman Old Style" w:cs="Calibri"/>
        </w:rPr>
      </w:pPr>
      <w:r w:rsidRPr="00780580">
        <w:rPr>
          <w:rFonts w:ascii="Bookman Old Style" w:hAnsi="Bookman Old Style" w:cs="Calibri"/>
        </w:rPr>
        <w:t>Colorado: 88% (2012-2015).</w:t>
      </w:r>
    </w:p>
    <w:p w:rsidR="007E2A01" w:rsidRPr="00780580" w:rsidRDefault="007E2A01" w:rsidP="007E2A01">
      <w:pPr>
        <w:pStyle w:val="Sinespaciado"/>
        <w:widowControl w:val="0"/>
        <w:numPr>
          <w:ilvl w:val="0"/>
          <w:numId w:val="39"/>
        </w:numPr>
        <w:jc w:val="both"/>
        <w:rPr>
          <w:rFonts w:ascii="Bookman Old Style" w:hAnsi="Bookman Old Style" w:cs="Calibri"/>
        </w:rPr>
      </w:pPr>
      <w:r w:rsidRPr="00780580">
        <w:rPr>
          <w:rFonts w:ascii="Bookman Old Style" w:hAnsi="Bookman Old Style" w:cs="Calibri"/>
        </w:rPr>
        <w:t>Washington D.C.: 98.6% (2013-2016).</w:t>
      </w:r>
    </w:p>
    <w:p w:rsidR="007E2A01" w:rsidRPr="00780580" w:rsidRDefault="007E2A01" w:rsidP="007E2A01">
      <w:pPr>
        <w:pStyle w:val="Sinespaciado"/>
        <w:widowControl w:val="0"/>
        <w:numPr>
          <w:ilvl w:val="0"/>
          <w:numId w:val="39"/>
        </w:numPr>
        <w:jc w:val="both"/>
        <w:rPr>
          <w:rFonts w:ascii="Bookman Old Style" w:hAnsi="Bookman Old Style" w:cs="Calibri"/>
        </w:rPr>
      </w:pPr>
      <w:r w:rsidRPr="00780580">
        <w:rPr>
          <w:rFonts w:ascii="Bookman Old Style" w:hAnsi="Bookman Old Style" w:cs="Calibri"/>
        </w:rPr>
        <w:t>Oregón: 96% (2013-2016).</w:t>
      </w:r>
    </w:p>
    <w:p w:rsidR="007E2A01" w:rsidRPr="00780580" w:rsidRDefault="007E2A01" w:rsidP="007E2A01">
      <w:pPr>
        <w:pStyle w:val="Sinespaciado"/>
        <w:widowControl w:val="0"/>
        <w:numPr>
          <w:ilvl w:val="0"/>
          <w:numId w:val="39"/>
        </w:numPr>
        <w:jc w:val="both"/>
        <w:rPr>
          <w:rFonts w:ascii="Bookman Old Style" w:hAnsi="Bookman Old Style" w:cs="Calibri"/>
        </w:rPr>
      </w:pPr>
      <w:r w:rsidRPr="00780580">
        <w:rPr>
          <w:rFonts w:ascii="Bookman Old Style" w:hAnsi="Bookman Old Style" w:cs="Calibri"/>
        </w:rPr>
        <w:t>Alaska: 93% (2013-2015).</w:t>
      </w:r>
    </w:p>
    <w:p w:rsidR="007E2A01" w:rsidRPr="00780580" w:rsidRDefault="007E2A01" w:rsidP="007E2A01">
      <w:pPr>
        <w:pStyle w:val="Sinespaciado"/>
        <w:jc w:val="both"/>
        <w:rPr>
          <w:rFonts w:ascii="Bookman Old Style" w:hAnsi="Bookman Old Style"/>
        </w:rPr>
      </w:pPr>
      <w:bookmarkStart w:id="3" w:name="_Toc5023216"/>
    </w:p>
    <w:p w:rsidR="007E2A01" w:rsidRPr="00780580" w:rsidRDefault="007E2A01" w:rsidP="007E2A01">
      <w:pPr>
        <w:pStyle w:val="Sinespaciado"/>
        <w:jc w:val="both"/>
        <w:rPr>
          <w:rFonts w:ascii="Bookman Old Style" w:hAnsi="Bookman Old Style"/>
        </w:rPr>
      </w:pPr>
      <w:r w:rsidRPr="00780580">
        <w:rPr>
          <w:rFonts w:ascii="Bookman Old Style" w:hAnsi="Bookman Old Style" w:cs="Calibri"/>
        </w:rPr>
        <w:t xml:space="preserve">Emprender la regularización del uso adulto y científico del cannabis en Colombia, representa una oportunidad para fortalecer la economía del país, reducir el crimen y los mercados ilegales, y además aliviar el sistema carcelario y judicial </w:t>
      </w:r>
      <w:bookmarkEnd w:id="3"/>
      <w:r w:rsidRPr="00780580">
        <w:rPr>
          <w:rFonts w:ascii="Bookman Old Style" w:hAnsi="Bookman Old Style" w:cs="Calibri"/>
        </w:rPr>
        <w:t>nacional. Respecto a este aspecto, según un estudio de Econcept</w:t>
      </w:r>
      <w:r w:rsidRPr="00780580">
        <w:rPr>
          <w:rStyle w:val="Refdenotaalpie"/>
          <w:rFonts w:ascii="Bookman Old Style" w:hAnsi="Bookman Old Style" w:cs="Calibri"/>
        </w:rPr>
        <w:footnoteReference w:id="44"/>
      </w:r>
      <w:r w:rsidRPr="00780580">
        <w:rPr>
          <w:rFonts w:ascii="Bookman Old Style" w:hAnsi="Bookman Old Style" w:cs="Calibri"/>
        </w:rPr>
        <w:t>, la firma liderada por el ex ministro de Hacienda Juan Carlos Echeverry, las estimaciones de exportaciones de cannabis podrían ascender entre los 2,300 y 17,700 millones de dólares, con un recaudo de impuesto a la renta entre 1.2 y 3.5 billones de pesos.</w:t>
      </w:r>
    </w:p>
    <w:p w:rsidR="007E2A01" w:rsidRPr="00485CC5" w:rsidRDefault="007E2A01" w:rsidP="007E2A01">
      <w:pPr>
        <w:rPr>
          <w:rFonts w:ascii="Bookman Old Style" w:hAnsi="Bookman Old Style"/>
          <w:szCs w:val="24"/>
        </w:rPr>
      </w:pPr>
    </w:p>
    <w:p w:rsidR="007E2A01" w:rsidRDefault="007E2A01" w:rsidP="007E2A01">
      <w:pPr>
        <w:pStyle w:val="Ttulo2"/>
        <w:numPr>
          <w:ilvl w:val="0"/>
          <w:numId w:val="35"/>
        </w:numPr>
        <w:jc w:val="center"/>
        <w:rPr>
          <w:rFonts w:ascii="Bookman Old Style" w:eastAsia="Calibri" w:hAnsi="Bookman Old Style" w:cs="Calibri"/>
          <w:sz w:val="22"/>
          <w:szCs w:val="24"/>
        </w:rPr>
      </w:pPr>
      <w:r>
        <w:rPr>
          <w:rFonts w:ascii="Bookman Old Style" w:eastAsia="Calibri" w:hAnsi="Bookman Old Style" w:cs="Calibri"/>
          <w:sz w:val="22"/>
          <w:szCs w:val="24"/>
        </w:rPr>
        <w:t>IMPACTO ECONÓMICO DE LA INDUSTRIA DEL CANNABIS MEDICINAL EN COLOMBIA.</w:t>
      </w:r>
    </w:p>
    <w:p w:rsidR="007E2A01" w:rsidRPr="00291DEF" w:rsidRDefault="007E2A01" w:rsidP="007E2A01">
      <w:pPr>
        <w:rPr>
          <w:rFonts w:eastAsia="Calibri"/>
        </w:rPr>
      </w:pPr>
    </w:p>
    <w:p w:rsidR="007E2A01" w:rsidRDefault="007E2A01" w:rsidP="007E2A01">
      <w:pPr>
        <w:pStyle w:val="Ttulo2"/>
        <w:ind w:left="0"/>
        <w:jc w:val="both"/>
        <w:rPr>
          <w:rFonts w:ascii="Bookman Old Style" w:eastAsia="Calibri" w:hAnsi="Bookman Old Style" w:cs="Calibri"/>
          <w:b w:val="0"/>
          <w:sz w:val="22"/>
          <w:szCs w:val="22"/>
        </w:rPr>
      </w:pPr>
      <w:r w:rsidRPr="00BA2C74">
        <w:rPr>
          <w:rFonts w:ascii="Bookman Old Style" w:eastAsia="Calibri" w:hAnsi="Bookman Old Style" w:cs="Calibri"/>
          <w:b w:val="0"/>
          <w:sz w:val="22"/>
          <w:szCs w:val="22"/>
        </w:rPr>
        <w:t>Como ya se mencionó anteriormente, en el año 2016 se discutió y aprobó la Ley 1787,</w:t>
      </w:r>
      <w:r w:rsidRPr="00BA2C74">
        <w:rPr>
          <w:rFonts w:ascii="Bookman Old Style" w:eastAsia="Calibri" w:hAnsi="Bookman Old Style" w:cs="Calibri"/>
          <w:b w:val="0"/>
          <w:bCs/>
          <w:i/>
          <w:iCs/>
          <w:sz w:val="22"/>
          <w:szCs w:val="22"/>
        </w:rPr>
        <w:t xml:space="preserve"> “Por medio de la cual se reglamenta el Acto Legislativo 02 de 2009.”</w:t>
      </w:r>
      <w:r w:rsidRPr="00BA2C74">
        <w:rPr>
          <w:rFonts w:ascii="Bookman Old Style" w:eastAsia="Calibri" w:hAnsi="Bookman Old Style" w:cs="Calibri"/>
          <w:b w:val="0"/>
          <w:sz w:val="22"/>
          <w:szCs w:val="22"/>
        </w:rPr>
        <w:t xml:space="preserve">, </w:t>
      </w:r>
      <w:r w:rsidRPr="00BA2C74">
        <w:rPr>
          <w:rFonts w:ascii="Bookman Old Style" w:eastAsia="Calibri" w:hAnsi="Bookman Old Style" w:cs="Calibri"/>
          <w:b w:val="0"/>
          <w:i/>
          <w:sz w:val="22"/>
          <w:szCs w:val="22"/>
        </w:rPr>
        <w:t>(desarrollada mediante el Decreto 0613 de 2017)</w:t>
      </w:r>
      <w:r w:rsidRPr="00BA2C74">
        <w:rPr>
          <w:rFonts w:ascii="Bookman Old Style" w:eastAsia="Calibri" w:hAnsi="Bookman Old Style" w:cs="Calibri"/>
          <w:b w:val="0"/>
          <w:sz w:val="22"/>
          <w:szCs w:val="22"/>
        </w:rPr>
        <w:t>.</w:t>
      </w:r>
      <w:r w:rsidRPr="00BA2C74">
        <w:rPr>
          <w:rFonts w:ascii="Bookman Old Style" w:eastAsia="Calibri" w:hAnsi="Bookman Old Style" w:cs="Calibri"/>
          <w:b w:val="0"/>
          <w:i/>
          <w:sz w:val="22"/>
          <w:szCs w:val="22"/>
        </w:rPr>
        <w:t xml:space="preserve"> </w:t>
      </w:r>
      <w:r w:rsidRPr="00BA2C74">
        <w:rPr>
          <w:rFonts w:ascii="Bookman Old Style" w:eastAsia="Calibri" w:hAnsi="Bookman Old Style" w:cs="Calibri"/>
          <w:b w:val="0"/>
          <w:sz w:val="22"/>
          <w:szCs w:val="22"/>
        </w:rPr>
        <w:t>Dicha Ley definió los criterios generales para permitir la expedición de licencias de uso de semillas, cultivo de plantas y fabricación de derivados del cannabis, bajo unos criterios estrictos y unos requisitos sine qua non.</w:t>
      </w:r>
    </w:p>
    <w:p w:rsidR="007E2A01" w:rsidRDefault="007E2A01" w:rsidP="007E2A01">
      <w:pPr>
        <w:rPr>
          <w:rFonts w:eastAsia="Calibri"/>
        </w:rPr>
      </w:pPr>
    </w:p>
    <w:p w:rsidR="007E2A01" w:rsidRPr="00585043" w:rsidRDefault="007E2A01" w:rsidP="007E2A01">
      <w:pPr>
        <w:jc w:val="both"/>
        <w:rPr>
          <w:rFonts w:ascii="Bookman Old Style" w:eastAsia="Calibri" w:hAnsi="Bookman Old Style"/>
        </w:rPr>
      </w:pPr>
      <w:r>
        <w:rPr>
          <w:rFonts w:ascii="Bookman Old Style" w:eastAsia="Calibri" w:hAnsi="Bookman Old Style"/>
        </w:rPr>
        <w:t xml:space="preserve">Bajo esta misma línea, en mayo de 2022 se sancionó la Ley 2204 de 2022, </w:t>
      </w:r>
      <w:r w:rsidRPr="001D5D7C">
        <w:rPr>
          <w:rFonts w:ascii="Bookman Old Style" w:eastAsia="Calibri" w:hAnsi="Bookman Old Style"/>
          <w:i/>
          <w:iCs/>
        </w:rPr>
        <w:t>“Por la cual se crea el marco legal para el uso industrial y científico del cáñamo en Colombia y se dictan otras disposiciones”</w:t>
      </w:r>
      <w:r>
        <w:rPr>
          <w:rFonts w:ascii="Bookman Old Style" w:eastAsia="Calibri" w:hAnsi="Bookman Old Style"/>
        </w:rPr>
        <w:t>, la cual c</w:t>
      </w:r>
      <w:r w:rsidRPr="001D5D7C">
        <w:rPr>
          <w:rFonts w:ascii="Bookman Old Style" w:hAnsi="Bookman Old Style"/>
        </w:rPr>
        <w:t>rea el marco legal para el uso de la fibra y el grano del cáñamo, cuyo contenido de tetrahidrocannabinol (THC), incluyendo isómeros, sales y formas acidas, sea igual o menor al 0.3% o aquel porcentaje que disponga el Gobierno Nacional, lo cual incluye el uso de semillas para siembra y cultivo destinadas a la producción de grano, semillas para siembra, plantas en estado vegetativo o componente vegetal, así como tambié</w:t>
      </w:r>
      <w:r>
        <w:rPr>
          <w:rFonts w:ascii="Bookman Old Style" w:hAnsi="Bookman Old Style"/>
        </w:rPr>
        <w:t>n</w:t>
      </w:r>
      <w:r w:rsidRPr="001D5D7C">
        <w:rPr>
          <w:rFonts w:ascii="Bookman Old Style" w:hAnsi="Bookman Old Style"/>
        </w:rPr>
        <w:t xml:space="preserve"> regula la comercialización, importación, exportación, adquisición a cualquier título, almacenamiento, transporte y disposición final de semillas para siembra, grano, plantas en estado vegetativo o componente vegetal con fines industriales y fines científicos en Colombia.</w:t>
      </w:r>
    </w:p>
    <w:p w:rsidR="007E2A01" w:rsidRPr="00BA2C74" w:rsidRDefault="007E2A01" w:rsidP="007E2A01">
      <w:pPr>
        <w:pStyle w:val="Ttulo2"/>
        <w:ind w:left="0"/>
        <w:jc w:val="both"/>
        <w:rPr>
          <w:rFonts w:ascii="Bookman Old Style" w:eastAsia="Calibri" w:hAnsi="Bookman Old Style" w:cs="Calibri"/>
          <w:b w:val="0"/>
          <w:sz w:val="22"/>
          <w:szCs w:val="22"/>
        </w:rPr>
      </w:pPr>
    </w:p>
    <w:p w:rsidR="007E2A01" w:rsidRPr="00BA2C74" w:rsidRDefault="007E2A01" w:rsidP="007E2A01">
      <w:pPr>
        <w:pStyle w:val="Ttulo2"/>
        <w:ind w:left="0"/>
        <w:jc w:val="both"/>
        <w:rPr>
          <w:rFonts w:ascii="Bookman Old Style" w:eastAsia="Calibri" w:hAnsi="Bookman Old Style"/>
          <w:b w:val="0"/>
          <w:sz w:val="22"/>
          <w:szCs w:val="22"/>
        </w:rPr>
      </w:pPr>
      <w:r>
        <w:rPr>
          <w:rFonts w:ascii="Bookman Old Style" w:eastAsia="Calibri" w:hAnsi="Bookman Old Style"/>
          <w:b w:val="0"/>
          <w:sz w:val="22"/>
          <w:szCs w:val="22"/>
        </w:rPr>
        <w:lastRenderedPageBreak/>
        <w:t>Leyes que han ayudado al desarrollo de la i</w:t>
      </w:r>
      <w:r w:rsidRPr="00BA2C74">
        <w:rPr>
          <w:rFonts w:ascii="Bookman Old Style" w:eastAsia="Calibri" w:hAnsi="Bookman Old Style"/>
          <w:b w:val="0"/>
          <w:sz w:val="22"/>
          <w:szCs w:val="22"/>
        </w:rPr>
        <w:t>ndustria del Cannabis medicinal</w:t>
      </w:r>
      <w:r>
        <w:rPr>
          <w:rFonts w:ascii="Bookman Old Style" w:eastAsia="Calibri" w:hAnsi="Bookman Old Style"/>
          <w:b w:val="0"/>
          <w:sz w:val="22"/>
          <w:szCs w:val="22"/>
        </w:rPr>
        <w:t xml:space="preserve">, el cual </w:t>
      </w:r>
      <w:r w:rsidRPr="00BA2C74">
        <w:rPr>
          <w:rFonts w:ascii="Bookman Old Style" w:eastAsia="Calibri" w:hAnsi="Bookman Old Style"/>
          <w:b w:val="0"/>
          <w:sz w:val="22"/>
          <w:szCs w:val="22"/>
        </w:rPr>
        <w:t xml:space="preserve"> le ha traído al país diversos beneficios teniendo en consideración que el solo tramité y expedición de las licencias tienen unos costos que oscilan entre los cuatro y los cinco millones.</w:t>
      </w:r>
    </w:p>
    <w:p w:rsidR="007E2A01" w:rsidRPr="00BA2C74" w:rsidRDefault="007E2A01" w:rsidP="007E2A01">
      <w:pPr>
        <w:pStyle w:val="Prrafodelista"/>
        <w:numPr>
          <w:ilvl w:val="0"/>
          <w:numId w:val="42"/>
        </w:numPr>
        <w:pBdr>
          <w:top w:val="nil"/>
          <w:left w:val="nil"/>
          <w:bottom w:val="nil"/>
          <w:right w:val="nil"/>
          <w:between w:val="nil"/>
        </w:pBdr>
        <w:spacing w:before="280" w:line="240" w:lineRule="auto"/>
        <w:jc w:val="both"/>
        <w:rPr>
          <w:rFonts w:ascii="Bookman Old Style" w:eastAsia="Calibri" w:hAnsi="Bookman Old Style" w:cs="Arial"/>
          <w:i/>
          <w:color w:val="000000"/>
          <w:lang w:val="es-ES_tradnl"/>
        </w:rPr>
      </w:pPr>
      <w:r w:rsidRPr="00BA2C74">
        <w:rPr>
          <w:rFonts w:ascii="Bookman Old Style" w:eastAsia="Calibri" w:hAnsi="Bookman Old Style"/>
        </w:rPr>
        <w:t xml:space="preserve">De acuerdo con </w:t>
      </w:r>
      <w:r w:rsidRPr="00BA2C74">
        <w:rPr>
          <w:rFonts w:ascii="Bookman Old Style" w:eastAsia="Calibri" w:hAnsi="Bookman Old Style" w:cs="Arial"/>
          <w:color w:val="000000"/>
          <w:lang w:val="es-ES_tradnl"/>
        </w:rPr>
        <w:t>FEDESARROLLO, la industria del cannabis genera alrededor de 17,3 empleos formales por cada hectárea sembrada. Esto muestra que, en comparación con la industria de flores del país, el número de empleos que deja la marihuana medicinal es igual al de dicho sector</w:t>
      </w:r>
      <w:r w:rsidRPr="00BA2C74">
        <w:rPr>
          <w:rFonts w:ascii="Bookman Old Style" w:eastAsia="Calibri" w:hAnsi="Bookman Old Style" w:cs="Arial"/>
          <w:i/>
          <w:color w:val="000000"/>
          <w:lang w:val="es-ES_tradnl"/>
        </w:rPr>
        <w:t>.</w:t>
      </w:r>
      <w:r w:rsidRPr="00BA2C74">
        <w:rPr>
          <w:rStyle w:val="Refdenotaalpie"/>
          <w:rFonts w:ascii="Bookman Old Style" w:eastAsia="Calibri" w:hAnsi="Bookman Old Style" w:cs="Arial"/>
          <w:i/>
          <w:color w:val="000000"/>
          <w:lang w:val="es-ES_tradnl"/>
        </w:rPr>
        <w:footnoteReference w:id="45"/>
      </w:r>
    </w:p>
    <w:p w:rsidR="007E2A01" w:rsidRPr="00BA2C74" w:rsidRDefault="007E2A01" w:rsidP="007E2A01">
      <w:pPr>
        <w:widowControl/>
        <w:numPr>
          <w:ilvl w:val="0"/>
          <w:numId w:val="41"/>
        </w:numPr>
        <w:pBdr>
          <w:top w:val="nil"/>
          <w:left w:val="nil"/>
          <w:bottom w:val="nil"/>
          <w:right w:val="nil"/>
          <w:between w:val="nil"/>
        </w:pBdr>
        <w:jc w:val="both"/>
        <w:rPr>
          <w:rFonts w:ascii="Bookman Old Style" w:eastAsia="Calibri" w:hAnsi="Bookman Old Style" w:cs="Arial"/>
          <w:color w:val="000000"/>
          <w:lang w:val="es-ES_tradnl"/>
        </w:rPr>
      </w:pPr>
      <w:r w:rsidRPr="00BA2C74">
        <w:rPr>
          <w:rFonts w:ascii="Bookman Old Style" w:eastAsia="Calibri" w:hAnsi="Bookman Old Style" w:cs="Arial"/>
          <w:color w:val="000000"/>
          <w:lang w:val="es-ES_tradnl"/>
        </w:rPr>
        <w:t>A 2019 había en Colombia 56 hectáreas cultivadas responsables por la generación de 975 empleos y de US$99 millones en ingresos. FEDESARROLLO estima que para 2025, con un crecimiento tendencial de cerca de 10% del área cultivada, se podría llegar a 450 hectáreas, es decir, más de 7.700 empleos e ingresos cercanos a los US$790 millones.</w:t>
      </w:r>
      <w:r w:rsidRPr="00BA2C74">
        <w:rPr>
          <w:rStyle w:val="Refdenotaalpie"/>
          <w:rFonts w:ascii="Bookman Old Style" w:eastAsia="Calibri" w:hAnsi="Bookman Old Style" w:cs="Arial"/>
          <w:color w:val="000000"/>
          <w:lang w:val="es-ES_tradnl"/>
        </w:rPr>
        <w:footnoteReference w:id="46"/>
      </w:r>
    </w:p>
    <w:p w:rsidR="007E2A01" w:rsidRPr="00BA2C74" w:rsidRDefault="007E2A01" w:rsidP="007E2A01">
      <w:pPr>
        <w:pBdr>
          <w:top w:val="nil"/>
          <w:left w:val="nil"/>
          <w:bottom w:val="nil"/>
          <w:right w:val="nil"/>
          <w:between w:val="nil"/>
        </w:pBdr>
        <w:ind w:left="720"/>
        <w:jc w:val="both"/>
        <w:rPr>
          <w:rFonts w:ascii="Bookman Old Style" w:eastAsia="Calibri" w:hAnsi="Bookman Old Style" w:cs="Arial"/>
          <w:color w:val="000000"/>
          <w:lang w:val="es-ES_tradnl"/>
        </w:rPr>
      </w:pPr>
    </w:p>
    <w:p w:rsidR="007E2A01" w:rsidRPr="00BA2C74" w:rsidRDefault="007E2A01" w:rsidP="007E2A01">
      <w:pPr>
        <w:widowControl/>
        <w:numPr>
          <w:ilvl w:val="0"/>
          <w:numId w:val="41"/>
        </w:numPr>
        <w:jc w:val="both"/>
        <w:rPr>
          <w:rFonts w:ascii="Bookman Old Style" w:eastAsia="Calibri" w:hAnsi="Bookman Old Style" w:cs="Arial"/>
          <w:lang w:val="es-ES_tradnl"/>
        </w:rPr>
      </w:pPr>
      <w:r w:rsidRPr="00BA2C74">
        <w:rPr>
          <w:rFonts w:ascii="Bookman Old Style" w:eastAsia="Calibri" w:hAnsi="Bookman Old Style" w:cs="Arial"/>
          <w:lang w:val="es-ES_tradnl"/>
        </w:rPr>
        <w:t xml:space="preserve">Según FEDESARROLLO, con la producción obtenida a partir de las hectáreas ya cultivadas de cannabis medicinal o científico se generarían para el año 2020 una cifra de 109 millones de dólares de exportaciones y 1.214 empleos. </w:t>
      </w:r>
    </w:p>
    <w:p w:rsidR="007E2A01" w:rsidRPr="00BA2C74" w:rsidRDefault="007E2A01" w:rsidP="007E2A01">
      <w:pPr>
        <w:ind w:left="1440"/>
        <w:jc w:val="both"/>
        <w:rPr>
          <w:rFonts w:ascii="Bookman Old Style" w:eastAsia="Calibri" w:hAnsi="Bookman Old Style" w:cs="Arial"/>
          <w:lang w:val="es-ES_tradnl"/>
        </w:rPr>
      </w:pPr>
    </w:p>
    <w:p w:rsidR="007E2A01" w:rsidRPr="00BA2C74" w:rsidRDefault="007E2A01" w:rsidP="007E2A01">
      <w:pPr>
        <w:widowControl/>
        <w:numPr>
          <w:ilvl w:val="1"/>
          <w:numId w:val="41"/>
        </w:numPr>
        <w:jc w:val="both"/>
        <w:rPr>
          <w:rFonts w:ascii="Bookman Old Style" w:eastAsia="Calibri" w:hAnsi="Bookman Old Style" w:cs="Arial"/>
          <w:lang w:val="es-ES_tradnl"/>
        </w:rPr>
      </w:pPr>
      <w:r w:rsidRPr="00BA2C74">
        <w:rPr>
          <w:rFonts w:ascii="Bookman Old Style" w:eastAsia="Calibri" w:hAnsi="Bookman Old Style" w:cs="Arial"/>
          <w:lang w:val="es-ES_tradnl"/>
        </w:rPr>
        <w:t>Con 1,558 H cultivadas en 2030 se podrían alcanzar ingresos entre USD 1.532 millones (escenario 2 caen los precios al 75%) y USD 3.065 millones (escenario 1- caen los precios al 50%). El empleo generado, llegaría a representar 41.748 empleos en 2030, incluyendo 26.968 empleos agrícolas.</w:t>
      </w:r>
      <w:r w:rsidRPr="00BA2C74">
        <w:rPr>
          <w:rStyle w:val="Refdenotaalpie"/>
          <w:rFonts w:ascii="Bookman Old Style" w:eastAsia="Calibri" w:hAnsi="Bookman Old Style" w:cs="Arial"/>
          <w:lang w:val="es-ES_tradnl"/>
        </w:rPr>
        <w:footnoteReference w:id="47"/>
      </w:r>
    </w:p>
    <w:p w:rsidR="007E2A01" w:rsidRPr="00BA2C74" w:rsidRDefault="007E2A01" w:rsidP="007E2A01">
      <w:pPr>
        <w:pStyle w:val="Prrafodelista"/>
        <w:spacing w:after="0" w:line="240" w:lineRule="auto"/>
        <w:ind w:left="993"/>
        <w:jc w:val="both"/>
        <w:rPr>
          <w:rFonts w:ascii="Bookman Old Style" w:eastAsia="Calibri" w:hAnsi="Bookman Old Style" w:cs="Arial"/>
          <w:lang w:val="es-ES_tradnl"/>
        </w:rPr>
      </w:pPr>
    </w:p>
    <w:p w:rsidR="007E2A01" w:rsidRPr="00BA2C74" w:rsidRDefault="007E2A01" w:rsidP="007E2A01">
      <w:pPr>
        <w:widowControl/>
        <w:numPr>
          <w:ilvl w:val="0"/>
          <w:numId w:val="41"/>
        </w:numPr>
        <w:pBdr>
          <w:top w:val="nil"/>
          <w:left w:val="nil"/>
          <w:bottom w:val="nil"/>
          <w:right w:val="nil"/>
          <w:between w:val="nil"/>
        </w:pBdr>
        <w:jc w:val="both"/>
        <w:rPr>
          <w:rFonts w:ascii="Bookman Old Style" w:eastAsia="Calibri" w:hAnsi="Bookman Old Style" w:cs="Arial"/>
          <w:color w:val="000000"/>
          <w:lang w:val="es-ES_tradnl"/>
        </w:rPr>
      </w:pPr>
      <w:r w:rsidRPr="00BA2C74">
        <w:rPr>
          <w:rFonts w:ascii="Bookman Old Style" w:eastAsia="Calibri" w:hAnsi="Bookman Old Style" w:cs="Arial"/>
          <w:color w:val="000000"/>
          <w:lang w:val="es-ES_tradnl"/>
        </w:rPr>
        <w:t>Durante los últimos cuatro años de legalización, los emprendedores colombianos han atraído más de US$500 millones en inversión extranjera.</w:t>
      </w:r>
      <w:r w:rsidRPr="00BA2C74">
        <w:rPr>
          <w:rStyle w:val="Refdenotaalpie"/>
          <w:rFonts w:ascii="Bookman Old Style" w:eastAsia="Calibri" w:hAnsi="Bookman Old Style" w:cs="Arial"/>
          <w:color w:val="000000"/>
          <w:lang w:val="es-ES_tradnl"/>
        </w:rPr>
        <w:footnoteReference w:id="48"/>
      </w:r>
    </w:p>
    <w:p w:rsidR="007E2A01" w:rsidRPr="00BA2C74" w:rsidRDefault="007E2A01" w:rsidP="007E2A01">
      <w:pPr>
        <w:pStyle w:val="Ttulo2"/>
        <w:ind w:left="0"/>
        <w:jc w:val="both"/>
        <w:rPr>
          <w:rFonts w:ascii="Bookman Old Style" w:eastAsia="Calibri" w:hAnsi="Bookman Old Style"/>
          <w:b w:val="0"/>
          <w:sz w:val="22"/>
          <w:szCs w:val="22"/>
        </w:rPr>
      </w:pPr>
    </w:p>
    <w:p w:rsidR="007E2A01" w:rsidRPr="00BA2C74" w:rsidRDefault="007E2A01" w:rsidP="007E2A01">
      <w:pPr>
        <w:pBdr>
          <w:top w:val="nil"/>
          <w:left w:val="nil"/>
          <w:bottom w:val="nil"/>
          <w:right w:val="nil"/>
          <w:between w:val="nil"/>
        </w:pBdr>
        <w:jc w:val="both"/>
        <w:rPr>
          <w:rFonts w:ascii="Bookman Old Style" w:eastAsia="Calibri" w:hAnsi="Bookman Old Style" w:cs="Arial"/>
          <w:color w:val="000000"/>
          <w:lang w:val="es-ES_tradnl"/>
        </w:rPr>
      </w:pPr>
      <w:r w:rsidRPr="00BA2C74">
        <w:rPr>
          <w:rFonts w:ascii="Bookman Old Style" w:eastAsia="Calibri" w:hAnsi="Bookman Old Style" w:cs="Arial"/>
          <w:color w:val="000000"/>
        </w:rPr>
        <w:t xml:space="preserve">Bajo esta misma línea, </w:t>
      </w:r>
      <w:r w:rsidRPr="00BA2C74">
        <w:rPr>
          <w:rFonts w:ascii="Bookman Old Style" w:eastAsia="Calibri" w:hAnsi="Bookman Old Style" w:cs="Arial"/>
          <w:color w:val="000000"/>
          <w:lang w:val="es-ES_tradnl"/>
        </w:rPr>
        <w:t xml:space="preserve">el exministro Juan Carlos Echeverry, </w:t>
      </w:r>
      <w:r>
        <w:rPr>
          <w:rFonts w:ascii="Bookman Old Style" w:eastAsia="Calibri" w:hAnsi="Bookman Old Style" w:cs="Arial"/>
          <w:color w:val="000000"/>
          <w:lang w:val="es-ES_tradnl"/>
        </w:rPr>
        <w:t xml:space="preserve">ha manifestado en distintos foros que </w:t>
      </w:r>
      <w:r w:rsidRPr="00BA2C74">
        <w:rPr>
          <w:rFonts w:ascii="Bookman Old Style" w:eastAsia="Calibri" w:hAnsi="Bookman Old Style" w:cs="Arial"/>
          <w:color w:val="000000"/>
          <w:lang w:val="es-ES_tradnl"/>
        </w:rPr>
        <w:t>el recaudo generado por esta industria podría evitarle al país una reforma tributaria, ya que el recaudo por concepto de impuesto de renta se podría ubicar entre 1,2 y 3,5 billones de pesos</w:t>
      </w:r>
      <w:r w:rsidRPr="00BA2C74">
        <w:rPr>
          <w:rFonts w:ascii="Bookman Old Style" w:eastAsia="Calibri" w:hAnsi="Bookman Old Style" w:cs="Arial"/>
          <w:i/>
          <w:lang w:val="es-ES_tradnl"/>
        </w:rPr>
        <w:t>.</w:t>
      </w:r>
      <w:r w:rsidRPr="00BA2C74">
        <w:rPr>
          <w:rStyle w:val="Refdenotaalpie"/>
          <w:rFonts w:ascii="Bookman Old Style" w:eastAsia="Calibri" w:hAnsi="Bookman Old Style" w:cs="Arial"/>
          <w:i/>
          <w:lang w:val="es-ES_tradnl"/>
        </w:rPr>
        <w:footnoteReference w:id="49"/>
      </w:r>
    </w:p>
    <w:p w:rsidR="007E2A01" w:rsidRPr="00BA2C74" w:rsidRDefault="007E2A01" w:rsidP="007E2A01">
      <w:pPr>
        <w:pBdr>
          <w:top w:val="nil"/>
          <w:left w:val="nil"/>
          <w:bottom w:val="nil"/>
          <w:right w:val="nil"/>
          <w:between w:val="nil"/>
        </w:pBdr>
        <w:jc w:val="both"/>
        <w:rPr>
          <w:rFonts w:ascii="Bookman Old Style" w:eastAsia="Calibri" w:hAnsi="Bookman Old Style" w:cs="Arial"/>
          <w:color w:val="000000"/>
          <w:lang w:val="es-ES_tradnl"/>
        </w:rPr>
      </w:pPr>
    </w:p>
    <w:p w:rsidR="007E2A01" w:rsidRPr="00BA2C74" w:rsidRDefault="007E2A01" w:rsidP="007E2A01">
      <w:pPr>
        <w:pBdr>
          <w:top w:val="nil"/>
          <w:left w:val="nil"/>
          <w:bottom w:val="nil"/>
          <w:right w:val="nil"/>
          <w:between w:val="nil"/>
        </w:pBdr>
        <w:jc w:val="both"/>
        <w:rPr>
          <w:rFonts w:ascii="Bookman Old Style" w:eastAsia="Calibri" w:hAnsi="Bookman Old Style" w:cs="Arial"/>
          <w:color w:val="000000"/>
          <w:lang w:val="es-ES_tradnl"/>
        </w:rPr>
      </w:pPr>
      <w:r w:rsidRPr="00BA2C74">
        <w:rPr>
          <w:rFonts w:ascii="Bookman Old Style" w:eastAsia="Calibri" w:hAnsi="Bookman Old Style" w:cs="Arial"/>
          <w:color w:val="000000"/>
          <w:lang w:val="es-ES_tradnl"/>
        </w:rPr>
        <w:t>El hecho de que la industria de cannabis medicinal pueda alcanzar ingresos superiores a 100 millones de dólares a corto plazo es un hecho muy significativo, si se tiene en cuenta que las exportaciones de flores se demoraron diez años en superar los US$100 millones y casi 25 años en llegar a US$ 500 millones, como bien lo indica Fedesarrollo.</w:t>
      </w:r>
      <w:r w:rsidRPr="00BA2C74">
        <w:rPr>
          <w:rStyle w:val="Refdenotaalpie"/>
          <w:rFonts w:ascii="Bookman Old Style" w:eastAsia="Calibri" w:hAnsi="Bookman Old Style" w:cs="Arial"/>
          <w:color w:val="000000"/>
          <w:lang w:val="es-ES_tradnl"/>
        </w:rPr>
        <w:footnoteReference w:id="50"/>
      </w:r>
      <w:r w:rsidRPr="00BA2C74">
        <w:rPr>
          <w:rFonts w:ascii="Bookman Old Style" w:eastAsia="Calibri" w:hAnsi="Bookman Old Style" w:cs="Arial"/>
          <w:color w:val="000000"/>
          <w:lang w:val="es-ES_tradnl"/>
        </w:rPr>
        <w:t xml:space="preserve"> </w:t>
      </w:r>
    </w:p>
    <w:p w:rsidR="007E2A01" w:rsidRPr="00BA2C74" w:rsidRDefault="007E2A01" w:rsidP="007E2A01">
      <w:pPr>
        <w:pStyle w:val="Ttulo2"/>
        <w:ind w:left="0"/>
        <w:jc w:val="both"/>
        <w:rPr>
          <w:rFonts w:ascii="Bookman Old Style" w:eastAsia="Calibri" w:hAnsi="Bookman Old Style"/>
          <w:b w:val="0"/>
          <w:sz w:val="22"/>
          <w:szCs w:val="22"/>
          <w:lang w:val="es-ES_tradnl"/>
        </w:rPr>
      </w:pPr>
    </w:p>
    <w:p w:rsidR="007E2A01" w:rsidRPr="00211111" w:rsidRDefault="007E2A01" w:rsidP="007E2A01">
      <w:pPr>
        <w:pStyle w:val="Ttulo2"/>
        <w:ind w:left="0"/>
        <w:jc w:val="both"/>
        <w:rPr>
          <w:rFonts w:ascii="Bookman Old Style" w:eastAsia="Calibri" w:hAnsi="Bookman Old Style"/>
          <w:b w:val="0"/>
          <w:sz w:val="22"/>
          <w:szCs w:val="22"/>
        </w:rPr>
      </w:pPr>
      <w:r w:rsidRPr="00BA2C74">
        <w:rPr>
          <w:rFonts w:ascii="Bookman Old Style" w:eastAsia="Calibri" w:hAnsi="Bookman Old Style"/>
          <w:b w:val="0"/>
          <w:sz w:val="22"/>
          <w:szCs w:val="22"/>
        </w:rPr>
        <w:lastRenderedPageBreak/>
        <w:t xml:space="preserve">Aunado a que las cifras pueden continuar en aumento teniendo en consideración 1) que dicho mercado deja de ser estigmatizado; 2) cada vez hay más cupos otorgados; 3) hay un aumento exponencial de solicitudes de licencias para el uso de semillas, el cultivo de plantas y la fabricación de derivados; y 4) Aumenta la cifra </w:t>
      </w:r>
      <w:r w:rsidRPr="00211111">
        <w:rPr>
          <w:rFonts w:ascii="Bookman Old Style" w:eastAsia="Calibri" w:hAnsi="Bookman Old Style"/>
          <w:b w:val="0"/>
          <w:sz w:val="22"/>
          <w:szCs w:val="22"/>
        </w:rPr>
        <w:t>de países que se abren a este nuevo mercado.</w:t>
      </w:r>
    </w:p>
    <w:p w:rsidR="007E2A01" w:rsidRPr="001D5D7C" w:rsidRDefault="007E2A01" w:rsidP="007E2A01">
      <w:pPr>
        <w:rPr>
          <w:rFonts w:ascii="Bookman Old Style" w:eastAsia="Calibri" w:hAnsi="Bookman Old Style"/>
        </w:rPr>
      </w:pPr>
    </w:p>
    <w:p w:rsidR="007E2A01" w:rsidRDefault="007E2A01" w:rsidP="007E2A01">
      <w:pPr>
        <w:jc w:val="both"/>
        <w:rPr>
          <w:rFonts w:ascii="Bookman Old Style" w:eastAsia="Calibri" w:hAnsi="Bookman Old Style"/>
        </w:rPr>
      </w:pPr>
      <w:r>
        <w:rPr>
          <w:rFonts w:ascii="Bookman Old Style" w:eastAsia="Calibri" w:hAnsi="Bookman Old Style"/>
        </w:rPr>
        <w:t>Bajo cifras oficiales de</w:t>
      </w:r>
      <w:r w:rsidRPr="001D5D7C">
        <w:rPr>
          <w:rFonts w:ascii="Bookman Old Style" w:eastAsia="Calibri" w:hAnsi="Bookman Old Style"/>
        </w:rPr>
        <w:t xml:space="preserve"> la </w:t>
      </w:r>
      <w:r>
        <w:rPr>
          <w:rFonts w:ascii="Bookman Old Style" w:eastAsia="Calibri" w:hAnsi="Bookman Old Style"/>
        </w:rPr>
        <w:t>D</w:t>
      </w:r>
      <w:r w:rsidRPr="001D5D7C">
        <w:rPr>
          <w:rFonts w:ascii="Bookman Old Style" w:eastAsia="Calibri" w:hAnsi="Bookman Old Style"/>
        </w:rPr>
        <w:t xml:space="preserve">irección </w:t>
      </w:r>
      <w:r>
        <w:rPr>
          <w:rFonts w:ascii="Bookman Old Style" w:eastAsia="Calibri" w:hAnsi="Bookman Old Style"/>
        </w:rPr>
        <w:t>de política de drogas y actividades relacionadas, del Ministerio de Justicia y del Derecho, así como del Fondo Nacional de estupefacientes del Ministerio de Salud y Protección Social, tenemos que en Colombia:</w:t>
      </w:r>
    </w:p>
    <w:p w:rsidR="007E2A01" w:rsidRDefault="007E2A01" w:rsidP="007E2A01">
      <w:pPr>
        <w:jc w:val="both"/>
        <w:rPr>
          <w:rFonts w:ascii="Bookman Old Style" w:eastAsia="Calibri" w:hAnsi="Bookman Old Style"/>
        </w:rPr>
      </w:pPr>
    </w:p>
    <w:p w:rsidR="007E2A01" w:rsidRPr="001D5D7C" w:rsidRDefault="007E2A01" w:rsidP="007E2A01">
      <w:pPr>
        <w:pStyle w:val="Prrafodelista"/>
        <w:numPr>
          <w:ilvl w:val="0"/>
          <w:numId w:val="42"/>
        </w:numPr>
        <w:jc w:val="both"/>
        <w:rPr>
          <w:rFonts w:ascii="Bookman Old Style" w:eastAsia="Calibri" w:hAnsi="Bookman Old Style"/>
        </w:rPr>
      </w:pPr>
      <w:r>
        <w:rPr>
          <w:rFonts w:ascii="Bookman Old Style" w:eastAsia="Calibri" w:hAnsi="Bookman Old Style"/>
        </w:rPr>
        <w:t>Desde el año 2017 hasta junio 30 de 2022, se han otorgado 493 cupos de cultivo tanto para fines científicos como para producción de semillas para siembra.</w:t>
      </w:r>
    </w:p>
    <w:p w:rsidR="007E2A01" w:rsidRDefault="007E2A01" w:rsidP="007E2A01">
      <w:pPr>
        <w:rPr>
          <w:rFonts w:eastAsia="Calibri"/>
        </w:rPr>
      </w:pPr>
      <w:r>
        <w:rPr>
          <w:noProof/>
        </w:rPr>
        <w:drawing>
          <wp:inline distT="0" distB="0" distL="0" distR="0" wp14:anchorId="76D45202" wp14:editId="4A5B0818">
            <wp:extent cx="5612130" cy="1946275"/>
            <wp:effectExtent l="0" t="0" r="762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1">
                      <a:extLst>
                        <a:ext uri="{28A0092B-C50C-407E-A947-70E740481C1C}">
                          <a14:useLocalDpi xmlns:a14="http://schemas.microsoft.com/office/drawing/2010/main" val="0"/>
                        </a:ext>
                      </a:extLst>
                    </a:blip>
                    <a:stretch>
                      <a:fillRect/>
                    </a:stretch>
                  </pic:blipFill>
                  <pic:spPr>
                    <a:xfrm>
                      <a:off x="0" y="0"/>
                      <a:ext cx="5612130" cy="1946275"/>
                    </a:xfrm>
                    <a:prstGeom prst="rect">
                      <a:avLst/>
                    </a:prstGeom>
                  </pic:spPr>
                </pic:pic>
              </a:graphicData>
            </a:graphic>
          </wp:inline>
        </w:drawing>
      </w:r>
    </w:p>
    <w:p w:rsidR="007E2A01" w:rsidRDefault="007E2A01" w:rsidP="007E2A01">
      <w:pPr>
        <w:rPr>
          <w:rFonts w:eastAsia="Calibri"/>
        </w:rPr>
      </w:pPr>
      <w:r>
        <w:rPr>
          <w:noProof/>
        </w:rPr>
        <w:drawing>
          <wp:inline distT="0" distB="0" distL="0" distR="0" wp14:anchorId="215253D1" wp14:editId="6E663D42">
            <wp:extent cx="5612130" cy="2621280"/>
            <wp:effectExtent l="0" t="0" r="7620" b="7620"/>
            <wp:docPr id="8" name="Imagen 8"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abla&#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5612130" cy="2621280"/>
                    </a:xfrm>
                    <a:prstGeom prst="rect">
                      <a:avLst/>
                    </a:prstGeom>
                  </pic:spPr>
                </pic:pic>
              </a:graphicData>
            </a:graphic>
          </wp:inline>
        </w:drawing>
      </w:r>
    </w:p>
    <w:p w:rsidR="007E2A01" w:rsidRDefault="007E2A01" w:rsidP="007E2A01">
      <w:pPr>
        <w:rPr>
          <w:rFonts w:eastAsia="Calibri"/>
        </w:rPr>
      </w:pPr>
    </w:p>
    <w:p w:rsidR="007E2A01" w:rsidRDefault="007E2A01" w:rsidP="007E2A01">
      <w:pPr>
        <w:pStyle w:val="Prrafodelista"/>
        <w:numPr>
          <w:ilvl w:val="0"/>
          <w:numId w:val="42"/>
        </w:numPr>
        <w:spacing w:after="0" w:line="240" w:lineRule="auto"/>
        <w:jc w:val="both"/>
        <w:rPr>
          <w:rFonts w:ascii="Bookman Old Style" w:eastAsia="Calibri" w:hAnsi="Bookman Old Style"/>
        </w:rPr>
      </w:pPr>
      <w:r w:rsidRPr="001D5D7C">
        <w:rPr>
          <w:rFonts w:ascii="Bookman Old Style" w:eastAsia="Calibri" w:hAnsi="Bookman Old Style"/>
        </w:rPr>
        <w:t>Bajo ese mismo periodo se han otorgado más de 202 cupos para la fabricación de derivados de cannabis en las modalidades de investigación, uso nacional y exportación</w:t>
      </w:r>
      <w:r w:rsidRPr="006D3ED5">
        <w:rPr>
          <w:rFonts w:ascii="Bookman Old Style" w:eastAsia="Calibri" w:hAnsi="Bookman Old Style"/>
        </w:rPr>
        <w:t xml:space="preserve">, correspondientes a </w:t>
      </w:r>
      <w:r w:rsidRPr="001D5D7C">
        <w:rPr>
          <w:rFonts w:ascii="Bookman Old Style" w:hAnsi="Bookman Old Style"/>
        </w:rPr>
        <w:t>482.071,97 Kg de cannabis</w:t>
      </w:r>
      <w:r w:rsidRPr="001D5D7C">
        <w:rPr>
          <w:rFonts w:ascii="Bookman Old Style" w:eastAsia="Calibri" w:hAnsi="Bookman Old Style"/>
        </w:rPr>
        <w:t>.</w:t>
      </w:r>
    </w:p>
    <w:p w:rsidR="007E2A01" w:rsidRPr="001D5D7C" w:rsidRDefault="007E2A01" w:rsidP="007E2A01">
      <w:pPr>
        <w:pStyle w:val="Prrafodelista"/>
        <w:spacing w:after="0" w:line="240" w:lineRule="auto"/>
        <w:jc w:val="both"/>
        <w:rPr>
          <w:rFonts w:ascii="Bookman Old Style" w:eastAsia="Calibri" w:hAnsi="Bookman Old Style"/>
        </w:rPr>
      </w:pPr>
    </w:p>
    <w:tbl>
      <w:tblPr>
        <w:tblStyle w:val="Tablaconcuadrcula"/>
        <w:tblW w:w="0" w:type="auto"/>
        <w:tblLook w:val="04A0" w:firstRow="1" w:lastRow="0" w:firstColumn="1" w:lastColumn="0" w:noHBand="0" w:noVBand="1"/>
      </w:tblPr>
      <w:tblGrid>
        <w:gridCol w:w="2207"/>
        <w:gridCol w:w="2207"/>
        <w:gridCol w:w="2207"/>
        <w:gridCol w:w="2207"/>
      </w:tblGrid>
      <w:tr w:rsidR="007E2A01" w:rsidTr="007E2A01">
        <w:tc>
          <w:tcPr>
            <w:tcW w:w="2207" w:type="dxa"/>
          </w:tcPr>
          <w:p w:rsidR="007E2A01" w:rsidRPr="001D5D7C" w:rsidRDefault="007E2A01" w:rsidP="007E2A01">
            <w:pPr>
              <w:jc w:val="center"/>
              <w:rPr>
                <w:rFonts w:ascii="Bookman Old Style" w:hAnsi="Bookman Old Style"/>
                <w:b/>
                <w:bCs/>
                <w:lang w:val="es-ES"/>
              </w:rPr>
            </w:pPr>
            <w:r w:rsidRPr="00C63160">
              <w:rPr>
                <w:rFonts w:ascii="Bookman Old Style" w:hAnsi="Bookman Old Style"/>
                <w:b/>
                <w:bCs/>
                <w:lang w:val="es-ES"/>
              </w:rPr>
              <w:lastRenderedPageBreak/>
              <w:t>AÑO</w:t>
            </w:r>
          </w:p>
        </w:tc>
        <w:tc>
          <w:tcPr>
            <w:tcW w:w="2207" w:type="dxa"/>
          </w:tcPr>
          <w:p w:rsidR="007E2A01" w:rsidRPr="001D5D7C" w:rsidRDefault="007E2A01" w:rsidP="007E2A01">
            <w:pPr>
              <w:jc w:val="center"/>
              <w:rPr>
                <w:rFonts w:ascii="Bookman Old Style" w:hAnsi="Bookman Old Style"/>
                <w:b/>
                <w:bCs/>
                <w:lang w:val="es-ES"/>
              </w:rPr>
            </w:pPr>
            <w:r w:rsidRPr="00C63160">
              <w:rPr>
                <w:rFonts w:ascii="Bookman Old Style" w:hAnsi="Bookman Old Style"/>
                <w:b/>
                <w:bCs/>
                <w:lang w:val="es-ES"/>
              </w:rPr>
              <w:t>MODALIDAD INVESTIGACIÓN</w:t>
            </w:r>
          </w:p>
        </w:tc>
        <w:tc>
          <w:tcPr>
            <w:tcW w:w="2207" w:type="dxa"/>
          </w:tcPr>
          <w:p w:rsidR="007E2A01" w:rsidRPr="001D5D7C" w:rsidRDefault="007E2A01" w:rsidP="007E2A01">
            <w:pPr>
              <w:jc w:val="center"/>
              <w:rPr>
                <w:rFonts w:ascii="Bookman Old Style" w:hAnsi="Bookman Old Style"/>
                <w:b/>
                <w:bCs/>
                <w:lang w:val="es-ES"/>
              </w:rPr>
            </w:pPr>
            <w:r w:rsidRPr="00C63160">
              <w:rPr>
                <w:rFonts w:ascii="Bookman Old Style" w:hAnsi="Bookman Old Style"/>
                <w:b/>
                <w:bCs/>
                <w:lang w:val="es-ES"/>
              </w:rPr>
              <w:t>MODALIDAD USO NACIONAL</w:t>
            </w:r>
          </w:p>
        </w:tc>
        <w:tc>
          <w:tcPr>
            <w:tcW w:w="2207" w:type="dxa"/>
          </w:tcPr>
          <w:p w:rsidR="007E2A01" w:rsidRPr="001D5D7C" w:rsidRDefault="007E2A01" w:rsidP="007E2A01">
            <w:pPr>
              <w:jc w:val="center"/>
              <w:rPr>
                <w:rFonts w:ascii="Bookman Old Style" w:hAnsi="Bookman Old Style"/>
                <w:b/>
                <w:bCs/>
                <w:lang w:val="es-ES"/>
              </w:rPr>
            </w:pPr>
            <w:r w:rsidRPr="00C63160">
              <w:rPr>
                <w:rFonts w:ascii="Bookman Old Style" w:hAnsi="Bookman Old Style"/>
                <w:b/>
                <w:bCs/>
                <w:lang w:val="es-ES"/>
              </w:rPr>
              <w:t>MODALIDAD EXPORTACIÓN</w:t>
            </w:r>
          </w:p>
        </w:tc>
      </w:tr>
      <w:tr w:rsidR="007E2A01" w:rsidTr="007E2A01">
        <w:tc>
          <w:tcPr>
            <w:tcW w:w="2207" w:type="dxa"/>
          </w:tcPr>
          <w:p w:rsidR="007E2A01" w:rsidRPr="001D5D7C" w:rsidRDefault="007E2A01" w:rsidP="007E2A01">
            <w:pPr>
              <w:jc w:val="center"/>
              <w:rPr>
                <w:rFonts w:ascii="Bookman Old Style" w:hAnsi="Bookman Old Style"/>
                <w:lang w:val="es-ES"/>
              </w:rPr>
            </w:pPr>
            <w:r w:rsidRPr="001D5D7C">
              <w:rPr>
                <w:rFonts w:ascii="Bookman Old Style" w:hAnsi="Bookman Old Style"/>
                <w:lang w:val="es-ES"/>
              </w:rPr>
              <w:t>2017</w:t>
            </w:r>
          </w:p>
        </w:tc>
        <w:tc>
          <w:tcPr>
            <w:tcW w:w="2207" w:type="dxa"/>
          </w:tcPr>
          <w:p w:rsidR="007E2A01" w:rsidRPr="001D5D7C" w:rsidRDefault="007E2A01" w:rsidP="007E2A01">
            <w:pPr>
              <w:jc w:val="center"/>
              <w:rPr>
                <w:rFonts w:ascii="Bookman Old Style" w:hAnsi="Bookman Old Style"/>
                <w:lang w:val="es-ES"/>
              </w:rPr>
            </w:pPr>
            <w:r w:rsidRPr="001D5D7C">
              <w:rPr>
                <w:rFonts w:ascii="Bookman Old Style" w:hAnsi="Bookman Old Style"/>
                <w:lang w:val="es-ES"/>
              </w:rPr>
              <w:t>0</w:t>
            </w:r>
          </w:p>
        </w:tc>
        <w:tc>
          <w:tcPr>
            <w:tcW w:w="2207" w:type="dxa"/>
          </w:tcPr>
          <w:p w:rsidR="007E2A01" w:rsidRPr="001D5D7C" w:rsidRDefault="007E2A01" w:rsidP="007E2A01">
            <w:pPr>
              <w:jc w:val="center"/>
              <w:rPr>
                <w:rFonts w:ascii="Bookman Old Style" w:hAnsi="Bookman Old Style"/>
                <w:lang w:val="es-ES"/>
              </w:rPr>
            </w:pPr>
            <w:r w:rsidRPr="001D5D7C">
              <w:rPr>
                <w:rFonts w:ascii="Bookman Old Style" w:hAnsi="Bookman Old Style"/>
                <w:lang w:val="es-ES"/>
              </w:rPr>
              <w:t>0</w:t>
            </w:r>
          </w:p>
        </w:tc>
        <w:tc>
          <w:tcPr>
            <w:tcW w:w="2207" w:type="dxa"/>
          </w:tcPr>
          <w:p w:rsidR="007E2A01" w:rsidRPr="001D5D7C" w:rsidRDefault="007E2A01" w:rsidP="007E2A01">
            <w:pPr>
              <w:jc w:val="center"/>
              <w:rPr>
                <w:rFonts w:ascii="Bookman Old Style" w:hAnsi="Bookman Old Style"/>
                <w:lang w:val="es-ES"/>
              </w:rPr>
            </w:pPr>
            <w:r w:rsidRPr="001D5D7C">
              <w:rPr>
                <w:rFonts w:ascii="Bookman Old Style" w:hAnsi="Bookman Old Style"/>
                <w:lang w:val="es-ES"/>
              </w:rPr>
              <w:t>0</w:t>
            </w:r>
          </w:p>
        </w:tc>
      </w:tr>
      <w:tr w:rsidR="007E2A01" w:rsidTr="007E2A01">
        <w:tc>
          <w:tcPr>
            <w:tcW w:w="2207" w:type="dxa"/>
          </w:tcPr>
          <w:p w:rsidR="007E2A01" w:rsidRPr="001D5D7C" w:rsidRDefault="007E2A01" w:rsidP="007E2A01">
            <w:pPr>
              <w:jc w:val="center"/>
              <w:rPr>
                <w:rFonts w:ascii="Bookman Old Style" w:hAnsi="Bookman Old Style"/>
                <w:lang w:val="es-ES"/>
              </w:rPr>
            </w:pPr>
            <w:r w:rsidRPr="001D5D7C">
              <w:rPr>
                <w:rFonts w:ascii="Bookman Old Style" w:hAnsi="Bookman Old Style"/>
                <w:lang w:val="es-ES"/>
              </w:rPr>
              <w:t>2018</w:t>
            </w:r>
          </w:p>
        </w:tc>
        <w:tc>
          <w:tcPr>
            <w:tcW w:w="2207" w:type="dxa"/>
          </w:tcPr>
          <w:p w:rsidR="007E2A01" w:rsidRPr="001D5D7C" w:rsidRDefault="007E2A01" w:rsidP="007E2A01">
            <w:pPr>
              <w:jc w:val="center"/>
              <w:rPr>
                <w:rFonts w:ascii="Bookman Old Style" w:hAnsi="Bookman Old Style"/>
                <w:lang w:val="es-ES"/>
              </w:rPr>
            </w:pPr>
            <w:r w:rsidRPr="001D5D7C">
              <w:rPr>
                <w:rFonts w:ascii="Bookman Old Style" w:hAnsi="Bookman Old Style"/>
                <w:lang w:val="es-ES"/>
              </w:rPr>
              <w:t>5 cupos – 1.445,2 Kg.</w:t>
            </w:r>
          </w:p>
        </w:tc>
        <w:tc>
          <w:tcPr>
            <w:tcW w:w="2207" w:type="dxa"/>
          </w:tcPr>
          <w:p w:rsidR="007E2A01" w:rsidRPr="001D5D7C" w:rsidRDefault="007E2A01" w:rsidP="007E2A01">
            <w:pPr>
              <w:jc w:val="center"/>
              <w:rPr>
                <w:rFonts w:ascii="Bookman Old Style" w:hAnsi="Bookman Old Style"/>
                <w:lang w:val="es-ES"/>
              </w:rPr>
            </w:pPr>
            <w:r w:rsidRPr="001D5D7C">
              <w:rPr>
                <w:rFonts w:ascii="Bookman Old Style" w:hAnsi="Bookman Old Style"/>
                <w:lang w:val="es-ES"/>
              </w:rPr>
              <w:t>0</w:t>
            </w:r>
          </w:p>
        </w:tc>
        <w:tc>
          <w:tcPr>
            <w:tcW w:w="2207" w:type="dxa"/>
          </w:tcPr>
          <w:p w:rsidR="007E2A01" w:rsidRPr="001D5D7C" w:rsidRDefault="007E2A01" w:rsidP="007E2A01">
            <w:pPr>
              <w:jc w:val="center"/>
              <w:rPr>
                <w:rFonts w:ascii="Bookman Old Style" w:hAnsi="Bookman Old Style"/>
                <w:lang w:val="es-ES"/>
              </w:rPr>
            </w:pPr>
            <w:r w:rsidRPr="001D5D7C">
              <w:rPr>
                <w:rFonts w:ascii="Bookman Old Style" w:hAnsi="Bookman Old Style"/>
                <w:lang w:val="es-ES"/>
              </w:rPr>
              <w:t>0</w:t>
            </w:r>
          </w:p>
        </w:tc>
      </w:tr>
      <w:tr w:rsidR="007E2A01" w:rsidTr="007E2A01">
        <w:tc>
          <w:tcPr>
            <w:tcW w:w="2207" w:type="dxa"/>
          </w:tcPr>
          <w:p w:rsidR="007E2A01" w:rsidRPr="001D5D7C" w:rsidRDefault="007E2A01" w:rsidP="007E2A01">
            <w:pPr>
              <w:jc w:val="center"/>
              <w:rPr>
                <w:rFonts w:ascii="Bookman Old Style" w:hAnsi="Bookman Old Style"/>
                <w:lang w:val="es-ES"/>
              </w:rPr>
            </w:pPr>
            <w:r w:rsidRPr="001D5D7C">
              <w:rPr>
                <w:rFonts w:ascii="Bookman Old Style" w:hAnsi="Bookman Old Style"/>
                <w:lang w:val="es-ES"/>
              </w:rPr>
              <w:t>2019</w:t>
            </w:r>
          </w:p>
        </w:tc>
        <w:tc>
          <w:tcPr>
            <w:tcW w:w="2207" w:type="dxa"/>
          </w:tcPr>
          <w:p w:rsidR="007E2A01" w:rsidRPr="001D5D7C" w:rsidRDefault="007E2A01" w:rsidP="007E2A01">
            <w:pPr>
              <w:jc w:val="center"/>
              <w:rPr>
                <w:rFonts w:ascii="Bookman Old Style" w:hAnsi="Bookman Old Style"/>
                <w:lang w:val="es-ES"/>
              </w:rPr>
            </w:pPr>
            <w:r w:rsidRPr="001D5D7C">
              <w:rPr>
                <w:rFonts w:ascii="Bookman Old Style" w:hAnsi="Bookman Old Style"/>
                <w:lang w:val="es-ES"/>
              </w:rPr>
              <w:t>15 cupos – 4.610,70 Kg.</w:t>
            </w:r>
          </w:p>
        </w:tc>
        <w:tc>
          <w:tcPr>
            <w:tcW w:w="2207" w:type="dxa"/>
          </w:tcPr>
          <w:p w:rsidR="007E2A01" w:rsidRPr="001D5D7C" w:rsidRDefault="007E2A01" w:rsidP="007E2A01">
            <w:pPr>
              <w:jc w:val="center"/>
              <w:rPr>
                <w:rFonts w:ascii="Bookman Old Style" w:hAnsi="Bookman Old Style"/>
                <w:lang w:val="es-ES"/>
              </w:rPr>
            </w:pPr>
            <w:r w:rsidRPr="001D5D7C">
              <w:rPr>
                <w:rFonts w:ascii="Bookman Old Style" w:hAnsi="Bookman Old Style"/>
                <w:lang w:val="es-ES"/>
              </w:rPr>
              <w:t>7 cupos – 886,90 Kg.</w:t>
            </w:r>
          </w:p>
        </w:tc>
        <w:tc>
          <w:tcPr>
            <w:tcW w:w="2207" w:type="dxa"/>
          </w:tcPr>
          <w:p w:rsidR="007E2A01" w:rsidRPr="001D5D7C" w:rsidRDefault="007E2A01" w:rsidP="007E2A01">
            <w:pPr>
              <w:jc w:val="center"/>
              <w:rPr>
                <w:rFonts w:ascii="Bookman Old Style" w:hAnsi="Bookman Old Style"/>
                <w:lang w:val="es-ES"/>
              </w:rPr>
            </w:pPr>
            <w:r w:rsidRPr="001D5D7C">
              <w:rPr>
                <w:rFonts w:ascii="Bookman Old Style" w:hAnsi="Bookman Old Style"/>
                <w:lang w:val="es-ES"/>
              </w:rPr>
              <w:t>3 cupos – 1.074,12 Kg.</w:t>
            </w:r>
          </w:p>
        </w:tc>
      </w:tr>
      <w:tr w:rsidR="007E2A01" w:rsidTr="007E2A01">
        <w:tc>
          <w:tcPr>
            <w:tcW w:w="2207" w:type="dxa"/>
          </w:tcPr>
          <w:p w:rsidR="007E2A01" w:rsidRPr="001D5D7C" w:rsidRDefault="007E2A01" w:rsidP="007E2A01">
            <w:pPr>
              <w:jc w:val="center"/>
              <w:rPr>
                <w:rFonts w:ascii="Bookman Old Style" w:hAnsi="Bookman Old Style"/>
                <w:lang w:val="es-ES"/>
              </w:rPr>
            </w:pPr>
            <w:r w:rsidRPr="001D5D7C">
              <w:rPr>
                <w:rFonts w:ascii="Bookman Old Style" w:hAnsi="Bookman Old Style"/>
                <w:lang w:val="es-ES"/>
              </w:rPr>
              <w:t>2020</w:t>
            </w:r>
          </w:p>
        </w:tc>
        <w:tc>
          <w:tcPr>
            <w:tcW w:w="2207" w:type="dxa"/>
          </w:tcPr>
          <w:p w:rsidR="007E2A01" w:rsidRPr="001D5D7C" w:rsidRDefault="007E2A01" w:rsidP="007E2A01">
            <w:pPr>
              <w:jc w:val="center"/>
              <w:rPr>
                <w:rFonts w:ascii="Bookman Old Style" w:hAnsi="Bookman Old Style"/>
                <w:lang w:val="es-ES"/>
              </w:rPr>
            </w:pPr>
            <w:r w:rsidRPr="001D5D7C">
              <w:rPr>
                <w:rFonts w:ascii="Bookman Old Style" w:hAnsi="Bookman Old Style"/>
                <w:lang w:val="es-ES"/>
              </w:rPr>
              <w:t>45 cupos – 7.543,53 Kg.</w:t>
            </w:r>
          </w:p>
        </w:tc>
        <w:tc>
          <w:tcPr>
            <w:tcW w:w="2207" w:type="dxa"/>
          </w:tcPr>
          <w:p w:rsidR="007E2A01" w:rsidRPr="001D5D7C" w:rsidRDefault="007E2A01" w:rsidP="007E2A01">
            <w:pPr>
              <w:jc w:val="center"/>
              <w:rPr>
                <w:rFonts w:ascii="Bookman Old Style" w:hAnsi="Bookman Old Style"/>
                <w:lang w:val="es-ES"/>
              </w:rPr>
            </w:pPr>
            <w:r w:rsidRPr="001D5D7C">
              <w:rPr>
                <w:rFonts w:ascii="Bookman Old Style" w:hAnsi="Bookman Old Style"/>
                <w:lang w:val="es-ES"/>
              </w:rPr>
              <w:t>8 cupos – 5.180,20 Kg.</w:t>
            </w:r>
          </w:p>
        </w:tc>
        <w:tc>
          <w:tcPr>
            <w:tcW w:w="2207" w:type="dxa"/>
          </w:tcPr>
          <w:p w:rsidR="007E2A01" w:rsidRPr="001D5D7C" w:rsidRDefault="007E2A01" w:rsidP="007E2A01">
            <w:pPr>
              <w:jc w:val="center"/>
              <w:rPr>
                <w:rFonts w:ascii="Bookman Old Style" w:hAnsi="Bookman Old Style"/>
                <w:lang w:val="es-ES"/>
              </w:rPr>
            </w:pPr>
            <w:r w:rsidRPr="001D5D7C">
              <w:rPr>
                <w:rFonts w:ascii="Bookman Old Style" w:hAnsi="Bookman Old Style"/>
                <w:lang w:val="es-ES"/>
              </w:rPr>
              <w:t>18 cupos – 44.419,6 Kg.</w:t>
            </w:r>
          </w:p>
        </w:tc>
      </w:tr>
      <w:tr w:rsidR="007E2A01" w:rsidTr="007E2A01">
        <w:tc>
          <w:tcPr>
            <w:tcW w:w="2207" w:type="dxa"/>
          </w:tcPr>
          <w:p w:rsidR="007E2A01" w:rsidRPr="001D5D7C" w:rsidRDefault="007E2A01" w:rsidP="007E2A01">
            <w:pPr>
              <w:jc w:val="center"/>
              <w:rPr>
                <w:rFonts w:ascii="Bookman Old Style" w:hAnsi="Bookman Old Style"/>
                <w:lang w:val="es-ES"/>
              </w:rPr>
            </w:pPr>
            <w:r w:rsidRPr="001D5D7C">
              <w:rPr>
                <w:rFonts w:ascii="Bookman Old Style" w:hAnsi="Bookman Old Style"/>
                <w:lang w:val="es-ES"/>
              </w:rPr>
              <w:t>2021</w:t>
            </w:r>
          </w:p>
        </w:tc>
        <w:tc>
          <w:tcPr>
            <w:tcW w:w="2207" w:type="dxa"/>
          </w:tcPr>
          <w:p w:rsidR="007E2A01" w:rsidRPr="001D5D7C" w:rsidRDefault="007E2A01" w:rsidP="007E2A01">
            <w:pPr>
              <w:jc w:val="center"/>
              <w:rPr>
                <w:rFonts w:ascii="Bookman Old Style" w:hAnsi="Bookman Old Style"/>
                <w:lang w:val="es-ES"/>
              </w:rPr>
            </w:pPr>
            <w:r w:rsidRPr="001D5D7C">
              <w:rPr>
                <w:rFonts w:ascii="Bookman Old Style" w:hAnsi="Bookman Old Style"/>
                <w:lang w:val="es-ES"/>
              </w:rPr>
              <w:t>29 cupos – 10.143,26 Kg.</w:t>
            </w:r>
          </w:p>
        </w:tc>
        <w:tc>
          <w:tcPr>
            <w:tcW w:w="2207" w:type="dxa"/>
          </w:tcPr>
          <w:p w:rsidR="007E2A01" w:rsidRPr="001D5D7C" w:rsidRDefault="007E2A01" w:rsidP="007E2A01">
            <w:pPr>
              <w:jc w:val="center"/>
              <w:rPr>
                <w:rFonts w:ascii="Bookman Old Style" w:hAnsi="Bookman Old Style"/>
                <w:lang w:val="es-ES"/>
              </w:rPr>
            </w:pPr>
            <w:r w:rsidRPr="001D5D7C">
              <w:rPr>
                <w:rFonts w:ascii="Bookman Old Style" w:hAnsi="Bookman Old Style"/>
                <w:lang w:val="es-ES"/>
              </w:rPr>
              <w:t>14 cupos - 7.859,50 Kg.</w:t>
            </w:r>
          </w:p>
        </w:tc>
        <w:tc>
          <w:tcPr>
            <w:tcW w:w="2207" w:type="dxa"/>
          </w:tcPr>
          <w:p w:rsidR="007E2A01" w:rsidRPr="001D5D7C" w:rsidRDefault="007E2A01" w:rsidP="007E2A01">
            <w:pPr>
              <w:jc w:val="center"/>
              <w:rPr>
                <w:rFonts w:ascii="Bookman Old Style" w:hAnsi="Bookman Old Style"/>
                <w:lang w:val="es-ES"/>
              </w:rPr>
            </w:pPr>
            <w:r w:rsidRPr="001D5D7C">
              <w:rPr>
                <w:rFonts w:ascii="Bookman Old Style" w:hAnsi="Bookman Old Style"/>
                <w:lang w:val="es-ES"/>
              </w:rPr>
              <w:t>19 cupos – 191.492,155 Kg.</w:t>
            </w:r>
          </w:p>
        </w:tc>
      </w:tr>
      <w:tr w:rsidR="007E2A01" w:rsidTr="007E2A01">
        <w:tc>
          <w:tcPr>
            <w:tcW w:w="2207" w:type="dxa"/>
          </w:tcPr>
          <w:p w:rsidR="007E2A01" w:rsidRPr="001D5D7C" w:rsidRDefault="007E2A01" w:rsidP="007E2A01">
            <w:pPr>
              <w:jc w:val="center"/>
              <w:rPr>
                <w:rFonts w:ascii="Bookman Old Style" w:hAnsi="Bookman Old Style"/>
                <w:lang w:val="es-ES"/>
              </w:rPr>
            </w:pPr>
            <w:r w:rsidRPr="001D5D7C">
              <w:rPr>
                <w:rFonts w:ascii="Bookman Old Style" w:hAnsi="Bookman Old Style"/>
                <w:lang w:val="es-ES"/>
              </w:rPr>
              <w:t>2022 a junio 30.</w:t>
            </w:r>
          </w:p>
        </w:tc>
        <w:tc>
          <w:tcPr>
            <w:tcW w:w="2207" w:type="dxa"/>
          </w:tcPr>
          <w:p w:rsidR="007E2A01" w:rsidRPr="001D5D7C" w:rsidRDefault="007E2A01" w:rsidP="007E2A01">
            <w:pPr>
              <w:jc w:val="center"/>
              <w:rPr>
                <w:rFonts w:ascii="Bookman Old Style" w:hAnsi="Bookman Old Style"/>
                <w:lang w:val="es-ES"/>
              </w:rPr>
            </w:pPr>
            <w:r w:rsidRPr="001D5D7C">
              <w:rPr>
                <w:rFonts w:ascii="Bookman Old Style" w:hAnsi="Bookman Old Style"/>
                <w:lang w:val="es-ES"/>
              </w:rPr>
              <w:t>16 cupos – 3.791,53 Kg.</w:t>
            </w:r>
          </w:p>
        </w:tc>
        <w:tc>
          <w:tcPr>
            <w:tcW w:w="2207" w:type="dxa"/>
          </w:tcPr>
          <w:p w:rsidR="007E2A01" w:rsidRPr="001D5D7C" w:rsidRDefault="007E2A01" w:rsidP="007E2A01">
            <w:pPr>
              <w:jc w:val="center"/>
              <w:rPr>
                <w:rFonts w:ascii="Bookman Old Style" w:hAnsi="Bookman Old Style"/>
                <w:lang w:val="es-ES"/>
              </w:rPr>
            </w:pPr>
            <w:r w:rsidRPr="001D5D7C">
              <w:rPr>
                <w:rFonts w:ascii="Bookman Old Style" w:hAnsi="Bookman Old Style"/>
                <w:lang w:val="es-ES"/>
              </w:rPr>
              <w:t>11 cupos – 8.585,09 Kg.</w:t>
            </w:r>
          </w:p>
        </w:tc>
        <w:tc>
          <w:tcPr>
            <w:tcW w:w="2207" w:type="dxa"/>
          </w:tcPr>
          <w:p w:rsidR="007E2A01" w:rsidRPr="001D5D7C" w:rsidRDefault="007E2A01" w:rsidP="007E2A01">
            <w:pPr>
              <w:jc w:val="center"/>
              <w:rPr>
                <w:rFonts w:ascii="Bookman Old Style" w:hAnsi="Bookman Old Style"/>
                <w:lang w:val="es-ES"/>
              </w:rPr>
            </w:pPr>
            <w:r w:rsidRPr="001D5D7C">
              <w:rPr>
                <w:rFonts w:ascii="Bookman Old Style" w:hAnsi="Bookman Old Style"/>
                <w:lang w:val="es-ES"/>
              </w:rPr>
              <w:t>12 cupos – 195.040,191 Kg.</w:t>
            </w:r>
          </w:p>
        </w:tc>
      </w:tr>
      <w:tr w:rsidR="007E2A01" w:rsidTr="007E2A01">
        <w:tc>
          <w:tcPr>
            <w:tcW w:w="2207" w:type="dxa"/>
            <w:shd w:val="clear" w:color="auto" w:fill="BFBFBF" w:themeFill="background1" w:themeFillShade="BF"/>
          </w:tcPr>
          <w:p w:rsidR="007E2A01" w:rsidRPr="001D5D7C" w:rsidRDefault="007E2A01" w:rsidP="007E2A01">
            <w:pPr>
              <w:jc w:val="center"/>
              <w:rPr>
                <w:rFonts w:ascii="Bookman Old Style" w:hAnsi="Bookman Old Style"/>
                <w:b/>
                <w:bCs/>
                <w:lang w:val="es-ES"/>
              </w:rPr>
            </w:pPr>
            <w:r w:rsidRPr="001D5D7C">
              <w:rPr>
                <w:rFonts w:ascii="Bookman Old Style" w:hAnsi="Bookman Old Style"/>
                <w:b/>
                <w:bCs/>
                <w:lang w:val="es-ES"/>
              </w:rPr>
              <w:t>TOTAL MODALIDAD</w:t>
            </w:r>
          </w:p>
        </w:tc>
        <w:tc>
          <w:tcPr>
            <w:tcW w:w="2207" w:type="dxa"/>
            <w:shd w:val="clear" w:color="auto" w:fill="BFBFBF" w:themeFill="background1" w:themeFillShade="BF"/>
          </w:tcPr>
          <w:p w:rsidR="007E2A01" w:rsidRPr="001D5D7C" w:rsidRDefault="007E2A01" w:rsidP="007E2A01">
            <w:pPr>
              <w:jc w:val="center"/>
              <w:rPr>
                <w:rFonts w:ascii="Bookman Old Style" w:hAnsi="Bookman Old Style"/>
                <w:lang w:val="es-ES"/>
              </w:rPr>
            </w:pPr>
            <w:r w:rsidRPr="001D5D7C">
              <w:rPr>
                <w:rFonts w:ascii="Bookman Old Style" w:hAnsi="Bookman Old Style"/>
                <w:lang w:val="es-ES"/>
              </w:rPr>
              <w:t>110 cupos – 27.534,22 Kg.</w:t>
            </w:r>
          </w:p>
        </w:tc>
        <w:tc>
          <w:tcPr>
            <w:tcW w:w="2207" w:type="dxa"/>
            <w:shd w:val="clear" w:color="auto" w:fill="BFBFBF" w:themeFill="background1" w:themeFillShade="BF"/>
          </w:tcPr>
          <w:p w:rsidR="007E2A01" w:rsidRPr="001D5D7C" w:rsidRDefault="007E2A01" w:rsidP="007E2A01">
            <w:pPr>
              <w:jc w:val="center"/>
              <w:rPr>
                <w:rFonts w:ascii="Bookman Old Style" w:hAnsi="Bookman Old Style"/>
                <w:lang w:val="es-ES"/>
              </w:rPr>
            </w:pPr>
            <w:r w:rsidRPr="001D5D7C">
              <w:rPr>
                <w:rFonts w:ascii="Bookman Old Style" w:hAnsi="Bookman Old Style"/>
                <w:lang w:val="es-ES"/>
              </w:rPr>
              <w:t>40 cupos – 22.511,69 Kg.</w:t>
            </w:r>
          </w:p>
        </w:tc>
        <w:tc>
          <w:tcPr>
            <w:tcW w:w="2207" w:type="dxa"/>
            <w:shd w:val="clear" w:color="auto" w:fill="BFBFBF" w:themeFill="background1" w:themeFillShade="BF"/>
          </w:tcPr>
          <w:p w:rsidR="007E2A01" w:rsidRPr="001D5D7C" w:rsidRDefault="007E2A01" w:rsidP="007E2A01">
            <w:pPr>
              <w:jc w:val="center"/>
              <w:rPr>
                <w:rFonts w:ascii="Bookman Old Style" w:hAnsi="Bookman Old Style"/>
                <w:lang w:val="es-ES"/>
              </w:rPr>
            </w:pPr>
            <w:r w:rsidRPr="001D5D7C">
              <w:rPr>
                <w:rFonts w:ascii="Bookman Old Style" w:hAnsi="Bookman Old Style"/>
                <w:lang w:val="es-ES"/>
              </w:rPr>
              <w:t>52 cupos – 432.026,06 Kg.</w:t>
            </w:r>
          </w:p>
        </w:tc>
      </w:tr>
    </w:tbl>
    <w:p w:rsidR="007E2A01" w:rsidRDefault="007E2A01" w:rsidP="007E2A01">
      <w:pPr>
        <w:rPr>
          <w:rFonts w:eastAsia="Calibri"/>
        </w:rPr>
      </w:pPr>
    </w:p>
    <w:p w:rsidR="007E2A01" w:rsidRPr="001D5D7C" w:rsidRDefault="007E2A01" w:rsidP="007E2A01">
      <w:pPr>
        <w:pStyle w:val="Prrafodelista"/>
        <w:numPr>
          <w:ilvl w:val="0"/>
          <w:numId w:val="42"/>
        </w:numPr>
        <w:spacing w:line="240" w:lineRule="auto"/>
        <w:jc w:val="both"/>
        <w:rPr>
          <w:rFonts w:ascii="Bookman Old Style" w:eastAsia="Calibri" w:hAnsi="Bookman Old Style"/>
        </w:rPr>
      </w:pPr>
      <w:r w:rsidRPr="001D5D7C">
        <w:rPr>
          <w:rFonts w:ascii="Bookman Old Style" w:eastAsia="Calibri" w:hAnsi="Bookman Old Style"/>
        </w:rPr>
        <w:t>Con corte al 30 de junio de 2022 el Ministerio de Justicia y del Derecho ha otorgado, en total, 279 licencias de semillas para siembra y grano, en una o varias modalidades.</w:t>
      </w:r>
    </w:p>
    <w:p w:rsidR="007E2A01" w:rsidRDefault="007E2A01" w:rsidP="007E2A01">
      <w:pPr>
        <w:rPr>
          <w:rFonts w:eastAsia="Calibri"/>
        </w:rPr>
      </w:pPr>
      <w:r w:rsidRPr="00933EEE">
        <w:rPr>
          <w:rFonts w:ascii="Bookman Old Style" w:hAnsi="Bookman Old Style"/>
          <w:noProof/>
        </w:rPr>
        <w:lastRenderedPageBreak/>
        <w:drawing>
          <wp:inline distT="0" distB="0" distL="0" distR="0" wp14:anchorId="6348FFFD" wp14:editId="02918639">
            <wp:extent cx="5581650" cy="5724525"/>
            <wp:effectExtent l="0" t="0" r="0" b="9525"/>
            <wp:docPr id="9" name="Imagen 9"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abla&#10;&#10;Descripción generada automáticamente"/>
                    <pic:cNvPicPr/>
                  </pic:nvPicPr>
                  <pic:blipFill>
                    <a:blip r:embed="rId13">
                      <a:extLst>
                        <a:ext uri="{28A0092B-C50C-407E-A947-70E740481C1C}">
                          <a14:useLocalDpi xmlns:a14="http://schemas.microsoft.com/office/drawing/2010/main" val="0"/>
                        </a:ext>
                      </a:extLst>
                    </a:blip>
                    <a:stretch>
                      <a:fillRect/>
                    </a:stretch>
                  </pic:blipFill>
                  <pic:spPr>
                    <a:xfrm>
                      <a:off x="0" y="0"/>
                      <a:ext cx="5581650" cy="5724525"/>
                    </a:xfrm>
                    <a:prstGeom prst="rect">
                      <a:avLst/>
                    </a:prstGeom>
                  </pic:spPr>
                </pic:pic>
              </a:graphicData>
            </a:graphic>
          </wp:inline>
        </w:drawing>
      </w:r>
    </w:p>
    <w:p w:rsidR="007E2A01" w:rsidRDefault="007E2A01" w:rsidP="007E2A01">
      <w:pPr>
        <w:rPr>
          <w:rFonts w:eastAsia="Calibri"/>
        </w:rPr>
      </w:pPr>
    </w:p>
    <w:p w:rsidR="007E2A01" w:rsidRDefault="007E2A01" w:rsidP="007E2A01">
      <w:pPr>
        <w:pStyle w:val="Prrafodelista"/>
        <w:numPr>
          <w:ilvl w:val="0"/>
          <w:numId w:val="42"/>
        </w:numPr>
        <w:spacing w:line="240" w:lineRule="auto"/>
        <w:jc w:val="both"/>
        <w:rPr>
          <w:rFonts w:ascii="Bookman Old Style" w:hAnsi="Bookman Old Style"/>
        </w:rPr>
      </w:pPr>
      <w:r w:rsidRPr="001D5D7C">
        <w:rPr>
          <w:rFonts w:ascii="Bookman Old Style" w:hAnsi="Bookman Old Style"/>
        </w:rPr>
        <w:t>Con corte al 30 de junio de 2022 el Ministerio de Justicia y del Derecho ha otorgado, en total, 862 licencias de cultivo de plantas de cannabis psicoactivo, en una o varias modalidades.</w:t>
      </w:r>
    </w:p>
    <w:p w:rsidR="007E2A01" w:rsidRPr="001D5D7C" w:rsidRDefault="007E2A01" w:rsidP="007E2A01">
      <w:pPr>
        <w:pStyle w:val="Prrafodelista"/>
        <w:spacing w:line="240" w:lineRule="auto"/>
        <w:jc w:val="both"/>
        <w:rPr>
          <w:rFonts w:ascii="Bookman Old Style" w:hAnsi="Bookman Old Style"/>
        </w:rPr>
      </w:pPr>
    </w:p>
    <w:p w:rsidR="007E2A01" w:rsidRDefault="007E2A01" w:rsidP="007E2A01">
      <w:pPr>
        <w:pStyle w:val="Prrafodelista"/>
        <w:numPr>
          <w:ilvl w:val="0"/>
          <w:numId w:val="42"/>
        </w:numPr>
        <w:spacing w:line="240" w:lineRule="auto"/>
        <w:jc w:val="both"/>
        <w:rPr>
          <w:rFonts w:ascii="Bookman Old Style" w:hAnsi="Bookman Old Style"/>
        </w:rPr>
      </w:pPr>
      <w:r w:rsidRPr="001D5D7C">
        <w:rPr>
          <w:rFonts w:ascii="Bookman Old Style" w:hAnsi="Bookman Old Style"/>
        </w:rPr>
        <w:t>Con corte al 30 de junio de 2022 el Ministerio de Justicia y del Derecho ha otorgado, en total, 18 licencias de cultivo de plantas de cannabis psicoactivo, en una o varias modalidades, a pequeños y medianos cultivadores y productores.</w:t>
      </w:r>
    </w:p>
    <w:p w:rsidR="007E2A01" w:rsidRPr="001D5D7C" w:rsidRDefault="007E2A01" w:rsidP="007E2A01">
      <w:pPr>
        <w:pStyle w:val="Prrafodelista"/>
        <w:spacing w:line="240" w:lineRule="auto"/>
        <w:rPr>
          <w:rFonts w:ascii="Bookman Old Style" w:hAnsi="Bookman Old Style"/>
        </w:rPr>
      </w:pPr>
    </w:p>
    <w:p w:rsidR="007E2A01" w:rsidRPr="001D5D7C" w:rsidRDefault="007E2A01" w:rsidP="007E2A01">
      <w:pPr>
        <w:pStyle w:val="Prrafodelista"/>
        <w:numPr>
          <w:ilvl w:val="0"/>
          <w:numId w:val="42"/>
        </w:numPr>
        <w:spacing w:line="240" w:lineRule="auto"/>
        <w:jc w:val="both"/>
        <w:rPr>
          <w:rFonts w:ascii="Bookman Old Style" w:hAnsi="Bookman Old Style"/>
        </w:rPr>
      </w:pPr>
      <w:r>
        <w:rPr>
          <w:rFonts w:ascii="Bookman Old Style" w:hAnsi="Bookman Old Style"/>
        </w:rPr>
        <w:t xml:space="preserve">Con corte al 30 de junio de 2022, los montos </w:t>
      </w:r>
      <w:r w:rsidRPr="001D5D7C">
        <w:rPr>
          <w:rFonts w:ascii="Bookman Old Style" w:hAnsi="Bookman Old Style"/>
        </w:rPr>
        <w:t xml:space="preserve">recaudados por concepto de trámite de licencias de uso de semillas de cannabis y licencias de cultivo de </w:t>
      </w:r>
      <w:r w:rsidRPr="001D5D7C">
        <w:rPr>
          <w:rFonts w:ascii="Bookman Old Style" w:hAnsi="Bookman Old Style"/>
        </w:rPr>
        <w:lastRenderedPageBreak/>
        <w:t>plantas de cannabis</w:t>
      </w:r>
      <w:r>
        <w:rPr>
          <w:rFonts w:ascii="Bookman Old Style" w:hAnsi="Bookman Old Style"/>
        </w:rPr>
        <w:t xml:space="preserve"> ascienden a un valor superior a los </w:t>
      </w:r>
      <w:r w:rsidRPr="00933EEE">
        <w:rPr>
          <w:rFonts w:ascii="Bookman Old Style" w:hAnsi="Bookman Old Style"/>
          <w:lang w:val="es-ES"/>
        </w:rPr>
        <w:t>cuarenta y dos mil cuatrocientos millones de pesos</w:t>
      </w:r>
      <w:r w:rsidRPr="001D5D7C">
        <w:rPr>
          <w:rFonts w:ascii="Bookman Old Style" w:hAnsi="Bookman Old Style"/>
        </w:rPr>
        <w:t>.</w:t>
      </w:r>
    </w:p>
    <w:tbl>
      <w:tblPr>
        <w:tblStyle w:val="Tablaconcuadrcula"/>
        <w:tblW w:w="0" w:type="auto"/>
        <w:tblLook w:val="04A0" w:firstRow="1" w:lastRow="0" w:firstColumn="1" w:lastColumn="0" w:noHBand="0" w:noVBand="1"/>
      </w:tblPr>
      <w:tblGrid>
        <w:gridCol w:w="4414"/>
        <w:gridCol w:w="4414"/>
      </w:tblGrid>
      <w:tr w:rsidR="007E2A01" w:rsidRPr="00933EEE" w:rsidTr="007E2A01">
        <w:tc>
          <w:tcPr>
            <w:tcW w:w="8828" w:type="dxa"/>
            <w:gridSpan w:val="2"/>
          </w:tcPr>
          <w:p w:rsidR="007E2A01" w:rsidRPr="00933EEE" w:rsidRDefault="007E2A01" w:rsidP="007E2A01">
            <w:pPr>
              <w:jc w:val="center"/>
              <w:rPr>
                <w:rFonts w:ascii="Bookman Old Style" w:hAnsi="Bookman Old Style"/>
                <w:b/>
                <w:bCs/>
                <w:lang w:val="es-ES"/>
              </w:rPr>
            </w:pPr>
            <w:r w:rsidRPr="00933EEE">
              <w:rPr>
                <w:rFonts w:ascii="Bookman Old Style" w:hAnsi="Bookman Old Style"/>
                <w:b/>
                <w:bCs/>
                <w:lang w:val="es-ES"/>
              </w:rPr>
              <w:t>RECAUDO TOTAL POR CONCEPTO DE LICENCIAS DE SEMILLAS Y DE CULTIVO DE PLANTAS DE CANNABIS</w:t>
            </w:r>
          </w:p>
        </w:tc>
      </w:tr>
      <w:tr w:rsidR="007E2A01" w:rsidRPr="00933EEE" w:rsidTr="007E2A01">
        <w:tc>
          <w:tcPr>
            <w:tcW w:w="4414" w:type="dxa"/>
          </w:tcPr>
          <w:p w:rsidR="007E2A01" w:rsidRPr="00933EEE" w:rsidRDefault="007E2A01" w:rsidP="007E2A01">
            <w:pPr>
              <w:jc w:val="center"/>
              <w:rPr>
                <w:rFonts w:ascii="Bookman Old Style" w:hAnsi="Bookman Old Style"/>
                <w:b/>
                <w:bCs/>
                <w:lang w:val="es-ES"/>
              </w:rPr>
            </w:pPr>
            <w:r w:rsidRPr="00933EEE">
              <w:rPr>
                <w:rFonts w:ascii="Bookman Old Style" w:hAnsi="Bookman Old Style"/>
                <w:b/>
                <w:bCs/>
                <w:lang w:val="es-ES"/>
              </w:rPr>
              <w:t>AÑO</w:t>
            </w:r>
          </w:p>
        </w:tc>
        <w:tc>
          <w:tcPr>
            <w:tcW w:w="4414" w:type="dxa"/>
          </w:tcPr>
          <w:p w:rsidR="007E2A01" w:rsidRPr="00933EEE" w:rsidRDefault="007E2A01" w:rsidP="007E2A01">
            <w:pPr>
              <w:jc w:val="center"/>
              <w:rPr>
                <w:rFonts w:ascii="Bookman Old Style" w:hAnsi="Bookman Old Style"/>
                <w:b/>
                <w:bCs/>
                <w:lang w:val="es-ES"/>
              </w:rPr>
            </w:pPr>
            <w:r w:rsidRPr="00933EEE">
              <w:rPr>
                <w:rFonts w:ascii="Bookman Old Style" w:hAnsi="Bookman Old Style"/>
                <w:b/>
                <w:bCs/>
                <w:lang w:val="es-ES"/>
              </w:rPr>
              <w:t>VALOR RECAUDADO</w:t>
            </w:r>
          </w:p>
        </w:tc>
      </w:tr>
      <w:tr w:rsidR="007E2A01" w:rsidRPr="00933EEE" w:rsidTr="007E2A01">
        <w:tc>
          <w:tcPr>
            <w:tcW w:w="4414" w:type="dxa"/>
          </w:tcPr>
          <w:p w:rsidR="007E2A01" w:rsidRPr="00933EEE" w:rsidRDefault="007E2A01" w:rsidP="007E2A01">
            <w:pPr>
              <w:jc w:val="center"/>
              <w:rPr>
                <w:rFonts w:ascii="Bookman Old Style" w:hAnsi="Bookman Old Style"/>
                <w:lang w:val="es-ES"/>
              </w:rPr>
            </w:pPr>
            <w:r w:rsidRPr="00933EEE">
              <w:rPr>
                <w:rFonts w:ascii="Bookman Old Style" w:hAnsi="Bookman Old Style"/>
                <w:lang w:val="es-ES"/>
              </w:rPr>
              <w:t>2017</w:t>
            </w:r>
          </w:p>
        </w:tc>
        <w:tc>
          <w:tcPr>
            <w:tcW w:w="4414" w:type="dxa"/>
          </w:tcPr>
          <w:p w:rsidR="007E2A01" w:rsidRPr="00933EEE" w:rsidRDefault="007E2A01" w:rsidP="007E2A01">
            <w:pPr>
              <w:jc w:val="center"/>
              <w:rPr>
                <w:rFonts w:ascii="Bookman Old Style" w:hAnsi="Bookman Old Style"/>
                <w:lang w:val="es-ES"/>
              </w:rPr>
            </w:pPr>
            <w:r w:rsidRPr="00933EEE">
              <w:rPr>
                <w:rFonts w:ascii="Bookman Old Style" w:hAnsi="Bookman Old Style"/>
                <w:lang w:val="es-ES"/>
              </w:rPr>
              <w:t>$ 811.950´453.43</w:t>
            </w:r>
          </w:p>
        </w:tc>
      </w:tr>
      <w:tr w:rsidR="007E2A01" w:rsidRPr="00933EEE" w:rsidTr="007E2A01">
        <w:tc>
          <w:tcPr>
            <w:tcW w:w="4414" w:type="dxa"/>
          </w:tcPr>
          <w:p w:rsidR="007E2A01" w:rsidRPr="00933EEE" w:rsidRDefault="007E2A01" w:rsidP="007E2A01">
            <w:pPr>
              <w:jc w:val="center"/>
              <w:rPr>
                <w:rFonts w:ascii="Bookman Old Style" w:hAnsi="Bookman Old Style"/>
                <w:lang w:val="es-ES"/>
              </w:rPr>
            </w:pPr>
            <w:r w:rsidRPr="00933EEE">
              <w:rPr>
                <w:rFonts w:ascii="Bookman Old Style" w:hAnsi="Bookman Old Style"/>
                <w:lang w:val="es-ES"/>
              </w:rPr>
              <w:t>2018</w:t>
            </w:r>
          </w:p>
        </w:tc>
        <w:tc>
          <w:tcPr>
            <w:tcW w:w="4414" w:type="dxa"/>
          </w:tcPr>
          <w:p w:rsidR="007E2A01" w:rsidRPr="00933EEE" w:rsidRDefault="007E2A01" w:rsidP="007E2A01">
            <w:pPr>
              <w:jc w:val="center"/>
              <w:rPr>
                <w:rFonts w:ascii="Bookman Old Style" w:hAnsi="Bookman Old Style"/>
                <w:lang w:val="es-ES"/>
              </w:rPr>
            </w:pPr>
            <w:r w:rsidRPr="00933EEE">
              <w:rPr>
                <w:rFonts w:ascii="Bookman Old Style" w:hAnsi="Bookman Old Style"/>
                <w:lang w:val="es-ES"/>
              </w:rPr>
              <w:t>$ 9.506´181.534,62</w:t>
            </w:r>
          </w:p>
        </w:tc>
      </w:tr>
      <w:tr w:rsidR="007E2A01" w:rsidRPr="00933EEE" w:rsidTr="007E2A01">
        <w:tc>
          <w:tcPr>
            <w:tcW w:w="4414" w:type="dxa"/>
          </w:tcPr>
          <w:p w:rsidR="007E2A01" w:rsidRPr="00933EEE" w:rsidRDefault="007E2A01" w:rsidP="007E2A01">
            <w:pPr>
              <w:jc w:val="center"/>
              <w:rPr>
                <w:rFonts w:ascii="Bookman Old Style" w:hAnsi="Bookman Old Style"/>
                <w:lang w:val="es-ES"/>
              </w:rPr>
            </w:pPr>
            <w:r w:rsidRPr="00933EEE">
              <w:rPr>
                <w:rFonts w:ascii="Bookman Old Style" w:hAnsi="Bookman Old Style"/>
                <w:lang w:val="es-ES"/>
              </w:rPr>
              <w:t>2019</w:t>
            </w:r>
          </w:p>
        </w:tc>
        <w:tc>
          <w:tcPr>
            <w:tcW w:w="4414" w:type="dxa"/>
          </w:tcPr>
          <w:p w:rsidR="007E2A01" w:rsidRPr="00933EEE" w:rsidRDefault="007E2A01" w:rsidP="007E2A01">
            <w:pPr>
              <w:jc w:val="center"/>
              <w:rPr>
                <w:rFonts w:ascii="Bookman Old Style" w:hAnsi="Bookman Old Style"/>
                <w:lang w:val="es-ES"/>
              </w:rPr>
            </w:pPr>
            <w:r w:rsidRPr="00933EEE">
              <w:rPr>
                <w:rFonts w:ascii="Bookman Old Style" w:hAnsi="Bookman Old Style"/>
                <w:lang w:val="es-ES"/>
              </w:rPr>
              <w:t>$ 14.394´922.757,45</w:t>
            </w:r>
          </w:p>
        </w:tc>
      </w:tr>
      <w:tr w:rsidR="007E2A01" w:rsidRPr="00933EEE" w:rsidTr="007E2A01">
        <w:tc>
          <w:tcPr>
            <w:tcW w:w="4414" w:type="dxa"/>
          </w:tcPr>
          <w:p w:rsidR="007E2A01" w:rsidRPr="00933EEE" w:rsidRDefault="007E2A01" w:rsidP="007E2A01">
            <w:pPr>
              <w:jc w:val="center"/>
              <w:rPr>
                <w:rFonts w:ascii="Bookman Old Style" w:hAnsi="Bookman Old Style"/>
                <w:lang w:val="es-ES"/>
              </w:rPr>
            </w:pPr>
            <w:r w:rsidRPr="00933EEE">
              <w:rPr>
                <w:rFonts w:ascii="Bookman Old Style" w:hAnsi="Bookman Old Style"/>
                <w:lang w:val="es-ES"/>
              </w:rPr>
              <w:t>2020</w:t>
            </w:r>
          </w:p>
        </w:tc>
        <w:tc>
          <w:tcPr>
            <w:tcW w:w="4414" w:type="dxa"/>
          </w:tcPr>
          <w:p w:rsidR="007E2A01" w:rsidRPr="00933EEE" w:rsidRDefault="007E2A01" w:rsidP="007E2A01">
            <w:pPr>
              <w:jc w:val="center"/>
              <w:rPr>
                <w:rFonts w:ascii="Bookman Old Style" w:hAnsi="Bookman Old Style"/>
                <w:lang w:val="es-ES"/>
              </w:rPr>
            </w:pPr>
            <w:r w:rsidRPr="00933EEE">
              <w:rPr>
                <w:rFonts w:ascii="Bookman Old Style" w:hAnsi="Bookman Old Style"/>
                <w:lang w:val="es-ES"/>
              </w:rPr>
              <w:t>$ 5.440´612.915,45</w:t>
            </w:r>
          </w:p>
        </w:tc>
      </w:tr>
      <w:tr w:rsidR="007E2A01" w:rsidRPr="00933EEE" w:rsidTr="007E2A01">
        <w:tc>
          <w:tcPr>
            <w:tcW w:w="4414" w:type="dxa"/>
          </w:tcPr>
          <w:p w:rsidR="007E2A01" w:rsidRPr="00933EEE" w:rsidRDefault="007E2A01" w:rsidP="007E2A01">
            <w:pPr>
              <w:jc w:val="center"/>
              <w:rPr>
                <w:rFonts w:ascii="Bookman Old Style" w:hAnsi="Bookman Old Style"/>
                <w:lang w:val="es-ES"/>
              </w:rPr>
            </w:pPr>
            <w:r w:rsidRPr="00933EEE">
              <w:rPr>
                <w:rFonts w:ascii="Bookman Old Style" w:hAnsi="Bookman Old Style"/>
                <w:lang w:val="es-ES"/>
              </w:rPr>
              <w:t>2021</w:t>
            </w:r>
          </w:p>
        </w:tc>
        <w:tc>
          <w:tcPr>
            <w:tcW w:w="4414" w:type="dxa"/>
          </w:tcPr>
          <w:p w:rsidR="007E2A01" w:rsidRPr="00933EEE" w:rsidRDefault="007E2A01" w:rsidP="007E2A01">
            <w:pPr>
              <w:jc w:val="center"/>
              <w:rPr>
                <w:rFonts w:ascii="Bookman Old Style" w:hAnsi="Bookman Old Style"/>
                <w:lang w:val="es-ES"/>
              </w:rPr>
            </w:pPr>
            <w:r w:rsidRPr="00933EEE">
              <w:rPr>
                <w:rFonts w:ascii="Bookman Old Style" w:hAnsi="Bookman Old Style"/>
                <w:lang w:val="es-ES"/>
              </w:rPr>
              <w:t>$ 6.511´915.892,88</w:t>
            </w:r>
          </w:p>
        </w:tc>
      </w:tr>
      <w:tr w:rsidR="007E2A01" w:rsidRPr="00933EEE" w:rsidTr="007E2A01">
        <w:tc>
          <w:tcPr>
            <w:tcW w:w="4414" w:type="dxa"/>
          </w:tcPr>
          <w:p w:rsidR="007E2A01" w:rsidRPr="00933EEE" w:rsidRDefault="007E2A01" w:rsidP="007E2A01">
            <w:pPr>
              <w:jc w:val="center"/>
              <w:rPr>
                <w:rFonts w:ascii="Bookman Old Style" w:hAnsi="Bookman Old Style"/>
                <w:lang w:val="es-ES"/>
              </w:rPr>
            </w:pPr>
            <w:r w:rsidRPr="00933EEE">
              <w:rPr>
                <w:rFonts w:ascii="Bookman Old Style" w:hAnsi="Bookman Old Style"/>
                <w:lang w:val="es-ES"/>
              </w:rPr>
              <w:t>2022</w:t>
            </w:r>
          </w:p>
        </w:tc>
        <w:tc>
          <w:tcPr>
            <w:tcW w:w="4414" w:type="dxa"/>
          </w:tcPr>
          <w:p w:rsidR="007E2A01" w:rsidRPr="00933EEE" w:rsidRDefault="007E2A01" w:rsidP="007E2A01">
            <w:pPr>
              <w:jc w:val="center"/>
              <w:rPr>
                <w:rFonts w:ascii="Bookman Old Style" w:hAnsi="Bookman Old Style"/>
                <w:lang w:val="es-ES"/>
              </w:rPr>
            </w:pPr>
            <w:r w:rsidRPr="00933EEE">
              <w:rPr>
                <w:rFonts w:ascii="Bookman Old Style" w:hAnsi="Bookman Old Style"/>
                <w:lang w:val="es-ES"/>
              </w:rPr>
              <w:t>$ 5.750´137.541,17</w:t>
            </w:r>
          </w:p>
        </w:tc>
      </w:tr>
      <w:tr w:rsidR="007E2A01" w:rsidRPr="00933EEE" w:rsidTr="007E2A01">
        <w:tc>
          <w:tcPr>
            <w:tcW w:w="4414" w:type="dxa"/>
            <w:shd w:val="clear" w:color="auto" w:fill="BFBFBF" w:themeFill="background1" w:themeFillShade="BF"/>
          </w:tcPr>
          <w:p w:rsidR="007E2A01" w:rsidRPr="00933EEE" w:rsidRDefault="007E2A01" w:rsidP="007E2A01">
            <w:pPr>
              <w:jc w:val="center"/>
              <w:rPr>
                <w:rFonts w:ascii="Bookman Old Style" w:hAnsi="Bookman Old Style"/>
                <w:b/>
                <w:bCs/>
                <w:lang w:val="es-ES"/>
              </w:rPr>
            </w:pPr>
            <w:r w:rsidRPr="00933EEE">
              <w:rPr>
                <w:rFonts w:ascii="Bookman Old Style" w:hAnsi="Bookman Old Style"/>
                <w:b/>
                <w:bCs/>
                <w:lang w:val="es-ES"/>
              </w:rPr>
              <w:t>Valor total recaudado</w:t>
            </w:r>
          </w:p>
        </w:tc>
        <w:tc>
          <w:tcPr>
            <w:tcW w:w="4414" w:type="dxa"/>
            <w:shd w:val="clear" w:color="auto" w:fill="BFBFBF" w:themeFill="background1" w:themeFillShade="BF"/>
          </w:tcPr>
          <w:p w:rsidR="007E2A01" w:rsidRPr="00933EEE" w:rsidRDefault="007E2A01" w:rsidP="007E2A01">
            <w:pPr>
              <w:jc w:val="center"/>
              <w:rPr>
                <w:rFonts w:ascii="Bookman Old Style" w:hAnsi="Bookman Old Style"/>
                <w:lang w:val="es-ES"/>
              </w:rPr>
            </w:pPr>
            <w:r w:rsidRPr="00933EEE">
              <w:rPr>
                <w:rFonts w:ascii="Bookman Old Style" w:hAnsi="Bookman Old Style"/>
                <w:lang w:val="es-ES"/>
              </w:rPr>
              <w:t>$ 42.415´721.095,00</w:t>
            </w:r>
          </w:p>
        </w:tc>
      </w:tr>
    </w:tbl>
    <w:p w:rsidR="007E2A01" w:rsidRDefault="007E2A01" w:rsidP="007E2A01">
      <w:pPr>
        <w:jc w:val="both"/>
        <w:rPr>
          <w:rFonts w:ascii="Bookman Old Style" w:hAnsi="Bookman Old Style"/>
        </w:rPr>
      </w:pPr>
    </w:p>
    <w:p w:rsidR="007E2A01" w:rsidRPr="00D71D62" w:rsidRDefault="007E2A01" w:rsidP="007E2A01">
      <w:pPr>
        <w:pStyle w:val="Prrafodelista"/>
        <w:numPr>
          <w:ilvl w:val="0"/>
          <w:numId w:val="48"/>
        </w:numPr>
        <w:spacing w:line="240" w:lineRule="auto"/>
        <w:jc w:val="both"/>
        <w:rPr>
          <w:rFonts w:ascii="Bookman Old Style" w:hAnsi="Bookman Old Style"/>
        </w:rPr>
      </w:pPr>
      <w:r w:rsidRPr="00D71D62">
        <w:rPr>
          <w:rFonts w:ascii="Bookman Old Style" w:hAnsi="Bookman Old Style"/>
        </w:rPr>
        <w:t>Del crecimiento económico que ha tenido la industria del cannabis medicinal y científico, de acuerdo a la Subdirección de Control y Fiscalización de Sustancias Químicas y Estupefacientes, se tiene</w:t>
      </w:r>
      <w:r>
        <w:rPr>
          <w:rFonts w:ascii="Bookman Old Style" w:hAnsi="Bookman Old Style"/>
        </w:rPr>
        <w:t xml:space="preserve"> que</w:t>
      </w:r>
      <w:r w:rsidRPr="00D71D62">
        <w:rPr>
          <w:rFonts w:ascii="Bookman Old Style" w:hAnsi="Bookman Old Style"/>
        </w:rPr>
        <w:t xml:space="preserve">: </w:t>
      </w:r>
    </w:p>
    <w:p w:rsidR="007E2A01" w:rsidRPr="00D71D62" w:rsidRDefault="007E2A01" w:rsidP="007E2A01">
      <w:pPr>
        <w:pStyle w:val="Prrafodelista"/>
        <w:spacing w:line="240" w:lineRule="auto"/>
        <w:jc w:val="both"/>
        <w:rPr>
          <w:rFonts w:ascii="Bookman Old Style" w:hAnsi="Bookman Old Style"/>
        </w:rPr>
      </w:pPr>
    </w:p>
    <w:p w:rsidR="007E2A01" w:rsidRPr="00D71D62" w:rsidRDefault="007E2A01" w:rsidP="007E2A01">
      <w:pPr>
        <w:pStyle w:val="Prrafodelista"/>
        <w:spacing w:line="240" w:lineRule="auto"/>
        <w:ind w:right="616"/>
        <w:jc w:val="both"/>
        <w:rPr>
          <w:rFonts w:ascii="Bookman Old Style" w:hAnsi="Bookman Old Style"/>
          <w:i/>
          <w:iCs/>
          <w:lang w:val="es-ES"/>
        </w:rPr>
      </w:pPr>
      <w:r w:rsidRPr="00D71D62">
        <w:rPr>
          <w:rFonts w:ascii="Bookman Old Style" w:hAnsi="Bookman Old Style"/>
          <w:i/>
          <w:iCs/>
          <w:lang w:val="es-ES"/>
        </w:rPr>
        <w:t>“El país exportó, en cuanto a productos de cannabis, más de USD $ 9 millones en el año 2021. Las exportaciones de Colombia evidencian que el sector de cannabis es diversificado, debido a que se han realizado exportaciones a más de 26 países. Entre los principales destinos se encuentran Estados Unidos, Australia y Reino Unido, los cuales concentran alrededor del 70 % de las exportaciones. En la región, se destacan las exportaciones a Brasil.</w:t>
      </w:r>
    </w:p>
    <w:p w:rsidR="007E2A01" w:rsidRPr="00D71D62" w:rsidRDefault="007E2A01" w:rsidP="007E2A01">
      <w:pPr>
        <w:pStyle w:val="Prrafodelista"/>
        <w:spacing w:line="240" w:lineRule="auto"/>
        <w:ind w:right="616"/>
        <w:jc w:val="both"/>
        <w:rPr>
          <w:rFonts w:ascii="Bookman Old Style" w:hAnsi="Bookman Old Style"/>
          <w:i/>
          <w:iCs/>
          <w:lang w:val="es-ES"/>
        </w:rPr>
      </w:pPr>
    </w:p>
    <w:p w:rsidR="007E2A01" w:rsidRPr="00D71D62" w:rsidRDefault="007E2A01" w:rsidP="007E2A01">
      <w:pPr>
        <w:pStyle w:val="Prrafodelista"/>
        <w:spacing w:line="240" w:lineRule="auto"/>
        <w:ind w:right="616"/>
        <w:jc w:val="both"/>
        <w:rPr>
          <w:rFonts w:ascii="Bookman Old Style" w:hAnsi="Bookman Old Style"/>
          <w:i/>
          <w:iCs/>
          <w:lang w:val="es-ES"/>
        </w:rPr>
      </w:pPr>
      <w:r w:rsidRPr="00D71D62">
        <w:rPr>
          <w:rFonts w:ascii="Bookman Old Style" w:hAnsi="Bookman Old Style"/>
          <w:i/>
          <w:iCs/>
          <w:lang w:val="es-ES"/>
        </w:rPr>
        <w:t xml:space="preserve">Así mismo, </w:t>
      </w:r>
      <w:r w:rsidRPr="00D71D62">
        <w:rPr>
          <w:rFonts w:ascii="Bookman Old Style" w:hAnsi="Bookman Old Style"/>
          <w:b/>
          <w:bCs/>
          <w:i/>
          <w:iCs/>
          <w:lang w:val="es-ES"/>
        </w:rPr>
        <w:t>actualmente se generan, aproximadamente, 17,5 empleos por hectárea sembrada</w:t>
      </w:r>
      <w:r w:rsidRPr="00D71D62">
        <w:rPr>
          <w:rFonts w:ascii="Bookman Old Style" w:hAnsi="Bookman Old Style"/>
          <w:i/>
          <w:iCs/>
          <w:lang w:val="es-ES"/>
        </w:rPr>
        <w:t>; más los que se pueden generar de forma indirecta conforme se incrementan las exportaciones. Bajo esta perspectiva, según cálculos de ProColombia, con información del DANE y Fedesarrollo, bajo un escenario de precios internacionales intermedio de cannabis medicinal (entre 1.000 y 1.500 USD por kg. de extracto), se proyecta que esta industria generará aproximadamente 44.000 puestos de trabajo para el 2030.</w:t>
      </w:r>
    </w:p>
    <w:p w:rsidR="007E2A01" w:rsidRPr="00D71D62" w:rsidRDefault="007E2A01" w:rsidP="007E2A01">
      <w:pPr>
        <w:pStyle w:val="Prrafodelista"/>
        <w:spacing w:line="240" w:lineRule="auto"/>
        <w:ind w:right="616"/>
        <w:jc w:val="both"/>
        <w:rPr>
          <w:rFonts w:ascii="Bookman Old Style" w:hAnsi="Bookman Old Style"/>
          <w:i/>
          <w:iCs/>
          <w:lang w:val="es-ES"/>
        </w:rPr>
      </w:pPr>
    </w:p>
    <w:p w:rsidR="007E2A01" w:rsidRPr="001D5D7C" w:rsidRDefault="007E2A01" w:rsidP="007E2A01">
      <w:pPr>
        <w:pStyle w:val="Prrafodelista"/>
        <w:spacing w:line="240" w:lineRule="auto"/>
        <w:ind w:right="616"/>
        <w:jc w:val="both"/>
        <w:rPr>
          <w:rFonts w:ascii="Bookman Old Style" w:hAnsi="Bookman Old Style"/>
          <w:i/>
          <w:iCs/>
        </w:rPr>
      </w:pPr>
      <w:r w:rsidRPr="00D71D62">
        <w:rPr>
          <w:rFonts w:ascii="Bookman Old Style" w:hAnsi="Bookman Old Style"/>
          <w:i/>
          <w:iCs/>
          <w:lang w:val="es-ES"/>
        </w:rPr>
        <w:t>Finalmente, en cuanto al volumen de exportaciones, considerando que entre el 2019 y el 2020 el sector creció un 1.568 %; con los nuevos avances regulatorios se esperan crecimientos que mantengan al sector como uno competitivo y atractivo para la inversión internacional, que incluso supere a otros rubros exporta</w:t>
      </w:r>
      <w:r w:rsidRPr="00D71D62">
        <w:rPr>
          <w:rFonts w:ascii="Bookman Old Style" w:hAnsi="Bookman Old Style"/>
          <w:i/>
          <w:iCs/>
        </w:rPr>
        <w:t>dores de la economía colombiana más tradicionales como, por ejemplo, las flores.”</w:t>
      </w:r>
    </w:p>
    <w:p w:rsidR="007E2A01" w:rsidRDefault="007E2A01" w:rsidP="007E2A01">
      <w:pPr>
        <w:pStyle w:val="Prrafodelista"/>
        <w:rPr>
          <w:rFonts w:ascii="Bookman Old Style" w:eastAsia="Calibri" w:hAnsi="Bookman Old Style"/>
        </w:rPr>
      </w:pPr>
    </w:p>
    <w:p w:rsidR="007E2A01" w:rsidRPr="001D5D7C" w:rsidRDefault="007E2A01" w:rsidP="007E2A01">
      <w:pPr>
        <w:pStyle w:val="Prrafodelista"/>
        <w:numPr>
          <w:ilvl w:val="0"/>
          <w:numId w:val="48"/>
        </w:numPr>
        <w:rPr>
          <w:rFonts w:ascii="Bookman Old Style" w:eastAsia="Calibri" w:hAnsi="Bookman Old Style"/>
        </w:rPr>
      </w:pPr>
      <w:r>
        <w:rPr>
          <w:rFonts w:ascii="Bookman Old Style" w:hAnsi="Bookman Old Style"/>
        </w:rPr>
        <w:t>Con corte al 30 de junio de 2022, en Colombia son destinadas 530.602 hectáreas destinadas para cultivo de cannabis no psicoactivo, así como 578.620 hectáreas destinadas para cultivo de cannabis psicoactivo, para un total de más de 1´109.222 hectáreas, capaces de producir más de 19 millones de empleos.</w:t>
      </w:r>
    </w:p>
    <w:p w:rsidR="007E2A01" w:rsidRPr="00485CC5" w:rsidRDefault="007E2A01" w:rsidP="007E2A01">
      <w:pPr>
        <w:pStyle w:val="Ttulo2"/>
        <w:numPr>
          <w:ilvl w:val="0"/>
          <w:numId w:val="35"/>
        </w:numPr>
        <w:jc w:val="center"/>
        <w:rPr>
          <w:rFonts w:ascii="Bookman Old Style" w:eastAsia="Calibri" w:hAnsi="Bookman Old Style" w:cs="Calibri"/>
          <w:sz w:val="22"/>
          <w:szCs w:val="24"/>
        </w:rPr>
      </w:pPr>
      <w:r>
        <w:rPr>
          <w:rFonts w:ascii="Bookman Old Style" w:eastAsia="Calibri" w:hAnsi="Bookman Old Style" w:cs="Calibri"/>
          <w:sz w:val="22"/>
          <w:szCs w:val="24"/>
        </w:rPr>
        <w:lastRenderedPageBreak/>
        <w:t>R</w:t>
      </w:r>
      <w:r w:rsidRPr="00485CC5">
        <w:rPr>
          <w:rFonts w:ascii="Bookman Old Style" w:eastAsia="Calibri" w:hAnsi="Bookman Old Style" w:cs="Calibri"/>
          <w:sz w:val="22"/>
          <w:szCs w:val="24"/>
        </w:rPr>
        <w:t xml:space="preserve">EGULACIÓN DE </w:t>
      </w:r>
      <w:r w:rsidR="00C12FD9">
        <w:rPr>
          <w:rFonts w:ascii="Bookman Old Style" w:eastAsia="Calibri" w:hAnsi="Bookman Old Style" w:cs="Calibri"/>
          <w:sz w:val="22"/>
          <w:szCs w:val="24"/>
        </w:rPr>
        <w:t>SUSTANCIAS PISCOACTIVAS</w:t>
      </w:r>
      <w:r w:rsidRPr="00485CC5">
        <w:rPr>
          <w:rFonts w:ascii="Bookman Old Style" w:eastAsia="Calibri" w:hAnsi="Bookman Old Style" w:cs="Calibri"/>
          <w:sz w:val="22"/>
          <w:szCs w:val="24"/>
        </w:rPr>
        <w:t xml:space="preserve"> EN COLOMBIA: ANÁLISIS CONSTITUCIONAL Y LEGAL.</w:t>
      </w:r>
    </w:p>
    <w:p w:rsidR="007E2A01" w:rsidRPr="00485CC5" w:rsidRDefault="007E2A01" w:rsidP="007E2A01">
      <w:pPr>
        <w:rPr>
          <w:rFonts w:ascii="Bookman Old Style" w:eastAsia="Calibri" w:hAnsi="Bookman Old Style"/>
          <w:szCs w:val="24"/>
        </w:rPr>
      </w:pPr>
    </w:p>
    <w:p w:rsidR="007E2A01" w:rsidRPr="00485CC5" w:rsidRDefault="007E2A01" w:rsidP="007E2A01">
      <w:pPr>
        <w:jc w:val="both"/>
        <w:rPr>
          <w:rFonts w:ascii="Bookman Old Style" w:eastAsia="Calibri" w:hAnsi="Bookman Old Style" w:cs="Calibri"/>
          <w:szCs w:val="24"/>
        </w:rPr>
      </w:pPr>
      <w:r w:rsidRPr="00485CC5">
        <w:rPr>
          <w:rFonts w:ascii="Bookman Old Style" w:eastAsia="Calibri" w:hAnsi="Bookman Old Style" w:cs="Calibri"/>
          <w:szCs w:val="24"/>
          <w:lang w:val="es-ES_tradnl"/>
        </w:rPr>
        <w:t xml:space="preserve">La Corte Constitucional en </w:t>
      </w:r>
      <w:r w:rsidRPr="00485CC5">
        <w:rPr>
          <w:rFonts w:ascii="Bookman Old Style" w:eastAsia="Calibri" w:hAnsi="Bookman Old Style" w:cs="Calibri"/>
          <w:bCs/>
          <w:szCs w:val="24"/>
        </w:rPr>
        <w:t>Sentencia T-388 de 2013</w:t>
      </w:r>
      <w:r w:rsidRPr="00485CC5">
        <w:rPr>
          <w:rFonts w:ascii="Bookman Old Style" w:eastAsia="Calibri" w:hAnsi="Bookman Old Style" w:cs="Calibri"/>
          <w:szCs w:val="24"/>
        </w:rPr>
        <w:t> determinó que la política criminal colombiana se ha caracterizado por ser reactiva, desprovista de una adecuada fundamentación empírica, incoherente, tendiente al endurecimiento punitivo, populista, poco reflexiva frente a los retos del contexto nacional, subordinada a la política de seguridad, volátil y débil. Estas características resultan problemáticas, en tanto, desligan la política criminal de sus objetivos principales: combatir la criminalidad y lograr la efectiva resocialización de los condenados.</w:t>
      </w:r>
    </w:p>
    <w:p w:rsidR="007E2A01" w:rsidRPr="00485CC5" w:rsidRDefault="007E2A01" w:rsidP="007E2A01">
      <w:pPr>
        <w:jc w:val="both"/>
        <w:rPr>
          <w:rFonts w:ascii="Bookman Old Style" w:eastAsia="Calibri" w:hAnsi="Bookman Old Style" w:cs="Calibri"/>
          <w:szCs w:val="24"/>
        </w:rPr>
      </w:pPr>
    </w:p>
    <w:p w:rsidR="007E2A01" w:rsidRPr="00485CC5" w:rsidRDefault="007E2A01" w:rsidP="007E2A01">
      <w:pPr>
        <w:jc w:val="both"/>
        <w:rPr>
          <w:rFonts w:ascii="Bookman Old Style" w:eastAsia="Calibri" w:hAnsi="Bookman Old Style" w:cs="Calibri"/>
          <w:szCs w:val="24"/>
          <w:lang w:val="es-ES_tradnl"/>
        </w:rPr>
      </w:pPr>
      <w:r w:rsidRPr="00485CC5">
        <w:rPr>
          <w:rFonts w:ascii="Bookman Old Style" w:eastAsia="Calibri" w:hAnsi="Bookman Old Style" w:cs="Calibri"/>
          <w:szCs w:val="24"/>
        </w:rPr>
        <w:t xml:space="preserve">Bajo esta directriz, </w:t>
      </w:r>
      <w:r w:rsidRPr="00485CC5">
        <w:rPr>
          <w:rFonts w:ascii="Bookman Old Style" w:eastAsia="Calibri" w:hAnsi="Bookman Old Style" w:cs="Calibri"/>
          <w:szCs w:val="24"/>
          <w:lang w:val="es-ES_tradnl"/>
        </w:rPr>
        <w:t>Colombia ha enfrentado el problema que se deriva del narcotráfico, promoviendo políticas de criminalización que atacan indistintamente a todos los eslabones de la cadena, no sólo a su producción y tráfico sino además a su consumo. Estas políticas no han sido eficientes, principalmente porque a la fecha no han logrado reducir de manera contundente la oferta o la demanda de sustancias ilegales, generando efectos secundarios con graves repercusiones sociales, tales como: 1) economías ilícitas (narcotráfico), 2) una discriminación injustificada a grupos poblacionales vulnerables, 3) violencia, 4) inseguridad en los diferentes escenarios ciudadanos y 5) abuso de sustancias tanto legales como ilegales.</w:t>
      </w:r>
    </w:p>
    <w:p w:rsidR="007E2A01" w:rsidRPr="00485CC5" w:rsidRDefault="007E2A01" w:rsidP="007E2A01">
      <w:pPr>
        <w:jc w:val="both"/>
        <w:rPr>
          <w:rFonts w:ascii="Bookman Old Style" w:eastAsia="Calibri" w:hAnsi="Bookman Old Style" w:cs="Calibri"/>
          <w:szCs w:val="24"/>
          <w:lang w:val="es-ES_tradnl"/>
        </w:rPr>
      </w:pPr>
    </w:p>
    <w:p w:rsidR="007E2A01" w:rsidRPr="00485CC5" w:rsidRDefault="007E2A01" w:rsidP="007E2A01">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Las políticas prohibicionistas, además de ser infructuosas</w:t>
      </w:r>
      <w:r>
        <w:rPr>
          <w:rFonts w:ascii="Bookman Old Style" w:eastAsia="Calibri" w:hAnsi="Bookman Old Style" w:cs="Calibri"/>
          <w:szCs w:val="24"/>
          <w:lang w:val="es-ES_tradnl"/>
        </w:rPr>
        <w:t>,</w:t>
      </w:r>
      <w:r w:rsidRPr="00485CC5">
        <w:rPr>
          <w:rFonts w:ascii="Bookman Old Style" w:eastAsia="Calibri" w:hAnsi="Bookman Old Style" w:cs="Calibri"/>
          <w:szCs w:val="24"/>
          <w:lang w:val="es-ES_tradnl"/>
        </w:rPr>
        <w:t xml:space="preserve"> van en detrimento de los derechos fundamentales al libre desarrollo de la personalidad, igualdad y salud pública.</w:t>
      </w:r>
    </w:p>
    <w:p w:rsidR="007E2A01" w:rsidRPr="00485CC5" w:rsidRDefault="007E2A01" w:rsidP="007E2A01">
      <w:pPr>
        <w:jc w:val="both"/>
        <w:rPr>
          <w:rFonts w:ascii="Bookman Old Style" w:eastAsia="Calibri" w:hAnsi="Bookman Old Style" w:cs="Calibri"/>
          <w:szCs w:val="24"/>
          <w:lang w:val="es-ES_tradnl"/>
        </w:rPr>
      </w:pPr>
    </w:p>
    <w:p w:rsidR="007E2A01" w:rsidRPr="00485CC5" w:rsidRDefault="007E2A01" w:rsidP="007E2A01">
      <w:pPr>
        <w:jc w:val="both"/>
        <w:rPr>
          <w:rFonts w:ascii="Bookman Old Style" w:eastAsia="Calibri" w:hAnsi="Bookman Old Style" w:cs="Calibri"/>
          <w:bCs/>
          <w:i/>
          <w:iCs/>
          <w:szCs w:val="24"/>
          <w:lang w:val="es-ES_tradnl"/>
        </w:rPr>
      </w:pPr>
      <w:r w:rsidRPr="00485CC5">
        <w:rPr>
          <w:rFonts w:ascii="Bookman Old Style" w:eastAsia="Calibri" w:hAnsi="Bookman Old Style" w:cs="Calibri"/>
          <w:bCs/>
          <w:iCs/>
          <w:szCs w:val="24"/>
          <w:lang w:val="es-ES_tradnl"/>
        </w:rPr>
        <w:t>La penalización del cannabis no impide que las personas accedan a ella, pero las obliga a consumirla en condiciones de ilegalidad y bajo constante amenaza policial.</w:t>
      </w:r>
      <w:r w:rsidRPr="00485CC5">
        <w:rPr>
          <w:rStyle w:val="Refdenotaalpie"/>
          <w:rFonts w:ascii="Bookman Old Style" w:eastAsia="Calibri" w:hAnsi="Bookman Old Style" w:cs="Calibri"/>
          <w:bCs/>
          <w:iCs/>
          <w:szCs w:val="24"/>
          <w:lang w:val="es-ES_tradnl"/>
        </w:rPr>
        <w:footnoteReference w:id="51"/>
      </w:r>
      <w:r w:rsidRPr="00485CC5">
        <w:rPr>
          <w:rFonts w:ascii="Bookman Old Style" w:eastAsia="Calibri" w:hAnsi="Bookman Old Style" w:cs="Calibri"/>
          <w:bCs/>
          <w:i/>
          <w:iCs/>
          <w:szCs w:val="24"/>
          <w:lang w:val="es-ES_tradnl"/>
        </w:rPr>
        <w:t xml:space="preserve"> </w:t>
      </w:r>
    </w:p>
    <w:p w:rsidR="007E2A01" w:rsidRPr="00485CC5" w:rsidRDefault="007E2A01" w:rsidP="007E2A01">
      <w:pPr>
        <w:jc w:val="both"/>
        <w:rPr>
          <w:rFonts w:ascii="Bookman Old Style" w:eastAsia="Calibri" w:hAnsi="Bookman Old Style" w:cs="Calibri"/>
          <w:bCs/>
          <w:i/>
          <w:iCs/>
          <w:szCs w:val="24"/>
          <w:lang w:val="es-ES_tradnl"/>
        </w:rPr>
      </w:pPr>
    </w:p>
    <w:p w:rsidR="007E2A01" w:rsidRPr="00485CC5" w:rsidRDefault="007E2A01" w:rsidP="007E2A01">
      <w:pPr>
        <w:jc w:val="both"/>
        <w:rPr>
          <w:rFonts w:ascii="Bookman Old Style" w:eastAsia="Calibri" w:hAnsi="Bookman Old Style" w:cs="Calibri"/>
          <w:bCs/>
          <w:iCs/>
          <w:szCs w:val="24"/>
          <w:lang w:val="es-ES_tradnl"/>
        </w:rPr>
      </w:pPr>
      <w:r w:rsidRPr="00485CC5">
        <w:rPr>
          <w:rFonts w:ascii="Bookman Old Style" w:eastAsia="Calibri" w:hAnsi="Bookman Old Style" w:cs="Calibri"/>
          <w:bCs/>
          <w:iCs/>
          <w:szCs w:val="24"/>
          <w:lang w:val="es-ES_tradnl"/>
        </w:rPr>
        <w:t>A continuación, analizaremos las políticas actuales a la luz del derecho constitucional colombiano, así como de la política criminal vigente. Esto con el fin de evidenciar que es momento de cambiar la regulación vigente en aras de fortalecer un sistema jurídico coherente y de lograr resultados más efectivos en lo relativo al control del porte y consumo del cannabis.</w:t>
      </w:r>
    </w:p>
    <w:p w:rsidR="007E2A01" w:rsidRPr="00485CC5" w:rsidRDefault="007E2A01" w:rsidP="007E2A01">
      <w:pPr>
        <w:pStyle w:val="Ttulo2"/>
        <w:ind w:left="0"/>
        <w:rPr>
          <w:rFonts w:ascii="Bookman Old Style" w:eastAsia="Calibri" w:hAnsi="Bookman Old Style" w:cs="Calibri"/>
          <w:sz w:val="22"/>
          <w:szCs w:val="24"/>
        </w:rPr>
      </w:pPr>
    </w:p>
    <w:p w:rsidR="007E2A01" w:rsidRPr="00485CC5" w:rsidRDefault="007E2A01" w:rsidP="007E2A01">
      <w:pPr>
        <w:pStyle w:val="Ttulo2"/>
        <w:ind w:left="0"/>
        <w:rPr>
          <w:rFonts w:ascii="Bookman Old Style" w:eastAsia="Calibri" w:hAnsi="Bookman Old Style" w:cs="Calibri"/>
          <w:sz w:val="22"/>
          <w:szCs w:val="24"/>
        </w:rPr>
      </w:pPr>
      <w:r>
        <w:rPr>
          <w:rFonts w:ascii="Bookman Old Style" w:eastAsia="Calibri" w:hAnsi="Bookman Old Style" w:cs="Calibri"/>
          <w:sz w:val="22"/>
          <w:szCs w:val="24"/>
        </w:rPr>
        <w:t>7</w:t>
      </w:r>
      <w:r w:rsidRPr="00485CC5">
        <w:rPr>
          <w:rFonts w:ascii="Bookman Old Style" w:eastAsia="Calibri" w:hAnsi="Bookman Old Style" w:cs="Calibri"/>
          <w:sz w:val="22"/>
          <w:szCs w:val="24"/>
        </w:rPr>
        <w:t>.1 PROHIBICIÓN VS. DERECHOS FUNDAMENTALES</w:t>
      </w:r>
    </w:p>
    <w:p w:rsidR="007E2A01" w:rsidRPr="00485CC5" w:rsidRDefault="007E2A01" w:rsidP="007E2A01">
      <w:pPr>
        <w:jc w:val="both"/>
        <w:rPr>
          <w:rFonts w:ascii="Bookman Old Style" w:eastAsia="Calibri" w:hAnsi="Bookman Old Style" w:cs="Calibri"/>
          <w:szCs w:val="24"/>
        </w:rPr>
      </w:pPr>
    </w:p>
    <w:p w:rsidR="007E2A01" w:rsidRPr="00485CC5" w:rsidRDefault="007E2A01" w:rsidP="007E2A01">
      <w:pPr>
        <w:jc w:val="both"/>
        <w:rPr>
          <w:rFonts w:ascii="Bookman Old Style" w:eastAsia="Calibri" w:hAnsi="Bookman Old Style" w:cs="Calibri"/>
          <w:szCs w:val="24"/>
        </w:rPr>
      </w:pPr>
      <w:r w:rsidRPr="00485CC5">
        <w:rPr>
          <w:rFonts w:ascii="Bookman Old Style" w:eastAsia="Calibri" w:hAnsi="Bookman Old Style" w:cs="Calibri"/>
          <w:szCs w:val="24"/>
        </w:rPr>
        <w:t xml:space="preserve">Como fue referido al inicio de este documento, el consumo de sustancias estupefacientes está relacionado con tres derechos fundamentales: </w:t>
      </w:r>
      <w:r>
        <w:rPr>
          <w:rFonts w:ascii="Bookman Old Style" w:eastAsia="Calibri" w:hAnsi="Bookman Old Style" w:cs="Calibri"/>
          <w:szCs w:val="24"/>
        </w:rPr>
        <w:t>el derecho al libre desarrollo de la personalidad, el derecho a la igualdad y</w:t>
      </w:r>
      <w:r w:rsidRPr="00485CC5">
        <w:rPr>
          <w:rFonts w:ascii="Bookman Old Style" w:eastAsia="Calibri" w:hAnsi="Bookman Old Style" w:cs="Calibri"/>
          <w:szCs w:val="24"/>
        </w:rPr>
        <w:t xml:space="preserve"> </w:t>
      </w:r>
      <w:r>
        <w:rPr>
          <w:rFonts w:ascii="Bookman Old Style" w:eastAsia="Calibri" w:hAnsi="Bookman Old Style" w:cs="Calibri"/>
          <w:szCs w:val="24"/>
        </w:rPr>
        <w:t xml:space="preserve">el derecho a </w:t>
      </w:r>
      <w:r w:rsidRPr="00485CC5">
        <w:rPr>
          <w:rFonts w:ascii="Bookman Old Style" w:eastAsia="Calibri" w:hAnsi="Bookman Old Style" w:cs="Calibri"/>
          <w:szCs w:val="24"/>
        </w:rPr>
        <w:t xml:space="preserve">la salud. </w:t>
      </w:r>
    </w:p>
    <w:p w:rsidR="007E2A01" w:rsidRPr="00485CC5" w:rsidRDefault="007E2A01" w:rsidP="007E2A01">
      <w:pPr>
        <w:pStyle w:val="Ttulo2"/>
        <w:ind w:left="0"/>
        <w:rPr>
          <w:rFonts w:ascii="Bookman Old Style" w:eastAsia="Calibri" w:hAnsi="Bookman Old Style" w:cs="Calibri"/>
          <w:sz w:val="22"/>
          <w:szCs w:val="24"/>
        </w:rPr>
      </w:pPr>
    </w:p>
    <w:p w:rsidR="007E2A01" w:rsidRPr="00485CC5" w:rsidRDefault="007E2A01" w:rsidP="007E2A01">
      <w:pPr>
        <w:pStyle w:val="Ttulo2"/>
        <w:ind w:left="0"/>
        <w:rPr>
          <w:rFonts w:ascii="Bookman Old Style" w:eastAsia="Calibri" w:hAnsi="Bookman Old Style" w:cs="Calibri"/>
          <w:sz w:val="22"/>
          <w:szCs w:val="24"/>
        </w:rPr>
      </w:pPr>
      <w:r>
        <w:rPr>
          <w:rFonts w:ascii="Bookman Old Style" w:eastAsia="Calibri" w:hAnsi="Bookman Old Style" w:cs="Calibri"/>
          <w:sz w:val="22"/>
          <w:szCs w:val="24"/>
        </w:rPr>
        <w:t>7</w:t>
      </w:r>
      <w:r w:rsidRPr="00485CC5">
        <w:rPr>
          <w:rFonts w:ascii="Bookman Old Style" w:eastAsia="Calibri" w:hAnsi="Bookman Old Style" w:cs="Calibri"/>
          <w:sz w:val="22"/>
          <w:szCs w:val="24"/>
        </w:rPr>
        <w:t>.1.1. DERECHO AL LIBRE DESARROLLO DE LA PERSONALIDAD</w:t>
      </w:r>
    </w:p>
    <w:p w:rsidR="007E2A01" w:rsidRPr="00485CC5" w:rsidRDefault="007E2A01" w:rsidP="007E2A01">
      <w:pPr>
        <w:jc w:val="both"/>
        <w:rPr>
          <w:rFonts w:ascii="Bookman Old Style" w:eastAsia="Calibri" w:hAnsi="Bookman Old Style" w:cs="Calibri"/>
          <w:szCs w:val="24"/>
        </w:rPr>
      </w:pPr>
    </w:p>
    <w:p w:rsidR="007E2A01" w:rsidRPr="00485CC5" w:rsidRDefault="007E2A01" w:rsidP="007E2A01">
      <w:pPr>
        <w:jc w:val="both"/>
        <w:rPr>
          <w:rFonts w:ascii="Bookman Old Style" w:eastAsia="Calibri" w:hAnsi="Bookman Old Style" w:cs="Calibri"/>
          <w:szCs w:val="24"/>
          <w:lang w:val="es-ES_tradnl"/>
        </w:rPr>
      </w:pPr>
      <w:r w:rsidRPr="00485CC5">
        <w:rPr>
          <w:rFonts w:ascii="Bookman Old Style" w:eastAsia="Calibri" w:hAnsi="Bookman Old Style" w:cs="Calibri"/>
          <w:szCs w:val="24"/>
        </w:rPr>
        <w:t xml:space="preserve">El derecho al libre desarrollo de la personalidad, manifestación de la </w:t>
      </w:r>
      <w:r w:rsidRPr="00485CC5">
        <w:rPr>
          <w:rFonts w:ascii="Bookman Old Style" w:eastAsia="Calibri" w:hAnsi="Bookman Old Style" w:cs="Calibri"/>
          <w:szCs w:val="24"/>
          <w:lang w:val="es-ES_tradnl"/>
        </w:rPr>
        <w:t xml:space="preserve">libertad como </w:t>
      </w:r>
      <w:r w:rsidRPr="00485CC5">
        <w:rPr>
          <w:rFonts w:ascii="Bookman Old Style" w:eastAsia="Calibri" w:hAnsi="Bookman Old Style" w:cs="Calibri"/>
          <w:szCs w:val="24"/>
          <w:lang w:val="es-ES_tradnl"/>
        </w:rPr>
        <w:lastRenderedPageBreak/>
        <w:t>un fin esencial del Estado Social de Derecho</w:t>
      </w:r>
      <w:r w:rsidRPr="00485CC5">
        <w:rPr>
          <w:rStyle w:val="Refdenotaalpie"/>
          <w:rFonts w:ascii="Bookman Old Style" w:eastAsia="Calibri" w:hAnsi="Bookman Old Style" w:cs="Calibri"/>
          <w:szCs w:val="24"/>
          <w:lang w:val="es-ES_tradnl"/>
        </w:rPr>
        <w:footnoteReference w:id="52"/>
      </w:r>
      <w:r w:rsidRPr="00485CC5">
        <w:rPr>
          <w:rFonts w:ascii="Bookman Old Style" w:eastAsia="Calibri" w:hAnsi="Bookman Old Style" w:cs="Calibri"/>
          <w:szCs w:val="24"/>
          <w:lang w:val="es-ES_tradnl"/>
        </w:rPr>
        <w:t xml:space="preserve">, se deriva del reconocimiento expreso realizado por el Constituyente en el artículo 16 de la Carta Política, en virtud del cual </w:t>
      </w:r>
      <w:r w:rsidRPr="00485CC5">
        <w:rPr>
          <w:rFonts w:ascii="Bookman Old Style" w:eastAsia="Calibri" w:hAnsi="Bookman Old Style" w:cs="Calibri"/>
          <w:i/>
          <w:szCs w:val="24"/>
          <w:lang w:val="es-ES_tradnl"/>
        </w:rPr>
        <w:t>“todas las personas tienen derecho al libre desarrollo de su personalidad sin más limitaciones que las que imponen los derechos de los demás y el orden jurídico.”</w:t>
      </w:r>
      <w:r w:rsidRPr="00485CC5">
        <w:rPr>
          <w:rFonts w:ascii="Bookman Old Style" w:eastAsia="Calibri" w:hAnsi="Bookman Old Style" w:cs="Calibri"/>
          <w:szCs w:val="24"/>
          <w:lang w:val="es-ES_tradnl"/>
        </w:rPr>
        <w:t xml:space="preserve"> </w:t>
      </w:r>
    </w:p>
    <w:p w:rsidR="007E2A01" w:rsidRPr="00485CC5" w:rsidRDefault="007E2A01" w:rsidP="007E2A01">
      <w:pPr>
        <w:jc w:val="both"/>
        <w:rPr>
          <w:rFonts w:ascii="Bookman Old Style" w:eastAsia="Calibri" w:hAnsi="Bookman Old Style" w:cs="Calibri"/>
          <w:szCs w:val="24"/>
          <w:lang w:val="es-ES_tradnl"/>
        </w:rPr>
      </w:pPr>
    </w:p>
    <w:p w:rsidR="007E2A01" w:rsidRPr="00485CC5" w:rsidRDefault="007E2A01" w:rsidP="007E2A01">
      <w:pPr>
        <w:jc w:val="both"/>
        <w:rPr>
          <w:rFonts w:ascii="Bookman Old Style" w:eastAsia="Calibri" w:hAnsi="Bookman Old Style" w:cs="Calibri"/>
          <w:szCs w:val="24"/>
        </w:rPr>
      </w:pPr>
      <w:r w:rsidRPr="00485CC5">
        <w:rPr>
          <w:rFonts w:ascii="Bookman Old Style" w:eastAsia="Calibri" w:hAnsi="Bookman Old Style" w:cs="Calibri"/>
          <w:szCs w:val="24"/>
          <w:lang w:val="es-ES_tradnl"/>
        </w:rPr>
        <w:t xml:space="preserve">Este derecho, de naturaleza fundamental, </w:t>
      </w:r>
      <w:r w:rsidRPr="00485CC5">
        <w:rPr>
          <w:rFonts w:ascii="Bookman Old Style" w:eastAsia="Calibri" w:hAnsi="Bookman Old Style" w:cs="Calibri"/>
          <w:szCs w:val="24"/>
        </w:rPr>
        <w:t>ostenta un vínculo innegable con el derecho a la dignidad humana y “</w:t>
      </w:r>
      <w:r w:rsidRPr="00485CC5">
        <w:rPr>
          <w:rFonts w:ascii="Bookman Old Style" w:eastAsia="Calibri" w:hAnsi="Bookman Old Style" w:cs="Calibri"/>
          <w:i/>
          <w:szCs w:val="24"/>
        </w:rPr>
        <w:t>busca proteger la potestad del individuo para autodeterminarse; esto es, la posibilidad de adoptar, sin intromisiones ni presiones de ninguna clase, un modelo de vida acorde con sus propios intereses, convicciones, inclinaciones y deseos, siempre, claro está, que se respeten los derechos ajenos y el orden constitucional</w:t>
      </w:r>
      <w:r w:rsidRPr="00485CC5">
        <w:rPr>
          <w:rFonts w:ascii="Bookman Old Style" w:eastAsia="Calibri" w:hAnsi="Bookman Old Style" w:cs="Calibri"/>
          <w:szCs w:val="24"/>
        </w:rPr>
        <w:t>”.</w:t>
      </w:r>
      <w:r w:rsidRPr="00485CC5">
        <w:rPr>
          <w:rStyle w:val="Refdenotaalpie"/>
          <w:rFonts w:ascii="Bookman Old Style" w:eastAsia="Calibri" w:hAnsi="Bookman Old Style" w:cs="Calibri"/>
          <w:szCs w:val="24"/>
        </w:rPr>
        <w:footnoteReference w:id="53"/>
      </w:r>
    </w:p>
    <w:p w:rsidR="007E2A01" w:rsidRPr="00485CC5" w:rsidRDefault="007E2A01" w:rsidP="007E2A01">
      <w:pPr>
        <w:jc w:val="both"/>
        <w:rPr>
          <w:rFonts w:ascii="Bookman Old Style" w:eastAsia="Calibri" w:hAnsi="Bookman Old Style" w:cs="Calibri"/>
          <w:szCs w:val="24"/>
          <w:lang w:val="es-ES_tradnl"/>
        </w:rPr>
      </w:pPr>
    </w:p>
    <w:p w:rsidR="007E2A01" w:rsidRPr="00485CC5" w:rsidRDefault="007E2A01" w:rsidP="007E2A01">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En reiterados pronunciamientos, la jurisprudencia de la Corte Constitucional ha sido enfática en</w:t>
      </w:r>
      <w:r>
        <w:rPr>
          <w:rFonts w:ascii="Bookman Old Style" w:eastAsia="Calibri" w:hAnsi="Bookman Old Style" w:cs="Calibri"/>
          <w:szCs w:val="24"/>
          <w:lang w:val="es-ES_tradnl"/>
        </w:rPr>
        <w:t xml:space="preserve"> afirmar</w:t>
      </w:r>
      <w:r w:rsidRPr="00485CC5">
        <w:rPr>
          <w:rFonts w:ascii="Bookman Old Style" w:eastAsia="Calibri" w:hAnsi="Bookman Old Style" w:cs="Calibri"/>
          <w:szCs w:val="24"/>
          <w:lang w:val="es-ES_tradnl"/>
        </w:rPr>
        <w:t xml:space="preserve"> que todas las limitaciones al derecho al libre desarrollo de la personalidad deben contar con un fundamento jurídico constitucional.</w:t>
      </w:r>
      <w:r w:rsidRPr="00485CC5">
        <w:rPr>
          <w:rStyle w:val="Refdenotaalpie"/>
          <w:rFonts w:ascii="Bookman Old Style" w:eastAsia="Calibri" w:hAnsi="Bookman Old Style" w:cs="Calibri"/>
          <w:szCs w:val="24"/>
          <w:lang w:val="es-ES_tradnl"/>
        </w:rPr>
        <w:footnoteReference w:id="54"/>
      </w:r>
      <w:r w:rsidRPr="00485CC5">
        <w:rPr>
          <w:rFonts w:ascii="Bookman Old Style" w:eastAsia="Calibri" w:hAnsi="Bookman Old Style" w:cs="Calibri"/>
          <w:szCs w:val="24"/>
          <w:lang w:val="es-ES_tradnl"/>
        </w:rPr>
        <w:t xml:space="preserve"> Lo anterior implica que la libertad de configuración legislativa se encuentra especialmente restringida y que, en cualquier caso, es necesario realizar un juicio de ponderación para garantizar que no se vea afectada la autonomía de cada ser humano para  alcanzar su realización personal.</w:t>
      </w:r>
      <w:r w:rsidRPr="00485CC5">
        <w:rPr>
          <w:rStyle w:val="Refdenotaalpie"/>
          <w:rFonts w:ascii="Bookman Old Style" w:eastAsia="Calibri" w:hAnsi="Bookman Old Style" w:cs="Calibri"/>
          <w:szCs w:val="24"/>
          <w:lang w:val="es-ES_tradnl"/>
        </w:rPr>
        <w:footnoteReference w:id="55"/>
      </w:r>
    </w:p>
    <w:p w:rsidR="007E2A01" w:rsidRPr="00485CC5" w:rsidRDefault="007E2A01" w:rsidP="007E2A01">
      <w:pPr>
        <w:tabs>
          <w:tab w:val="center" w:pos="4419"/>
        </w:tabs>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ab/>
      </w:r>
    </w:p>
    <w:p w:rsidR="007E2A01" w:rsidRPr="00485CC5" w:rsidRDefault="007E2A01" w:rsidP="007E2A01">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Bajo esta línea jurisprudencial, la Corte ha reconocido, desde el año 1991, un extenso catálogo de derechos que habían sido limitados por iniciativa legislativa y que hacían referencia a aspectos íntimos de los ciudadanos, entre los que se resaltan aquellos relacionados con la orientación sexual o el consumo de sustancias psicoactivas.</w:t>
      </w:r>
    </w:p>
    <w:p w:rsidR="007E2A01" w:rsidRPr="00485CC5" w:rsidRDefault="007E2A01" w:rsidP="007E2A01">
      <w:pPr>
        <w:jc w:val="both"/>
        <w:rPr>
          <w:rFonts w:ascii="Bookman Old Style" w:eastAsia="Calibri" w:hAnsi="Bookman Old Style" w:cs="Calibri"/>
          <w:szCs w:val="24"/>
          <w:lang w:val="es-ES_tradnl"/>
        </w:rPr>
      </w:pPr>
    </w:p>
    <w:p w:rsidR="007E2A01" w:rsidRPr="00485CC5" w:rsidRDefault="007E2A01" w:rsidP="007E2A01">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 xml:space="preserve">Fue precisamente este último tema, la penalización del consumo de drogas, el que motivó en el año 1994 un análisis sobre el derecho al libre desarrollo de la personalidad y a los límites del legislador en esa materia. </w:t>
      </w:r>
    </w:p>
    <w:p w:rsidR="007E2A01" w:rsidRPr="00485CC5" w:rsidRDefault="007E2A01" w:rsidP="007E2A01">
      <w:pPr>
        <w:jc w:val="both"/>
        <w:rPr>
          <w:rFonts w:ascii="Bookman Old Style" w:eastAsia="Calibri" w:hAnsi="Bookman Old Style" w:cs="Calibri"/>
          <w:szCs w:val="24"/>
          <w:lang w:val="es-ES_tradnl"/>
        </w:rPr>
      </w:pPr>
    </w:p>
    <w:p w:rsidR="007E2A01" w:rsidRPr="00485CC5" w:rsidRDefault="007E2A01" w:rsidP="007E2A01">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Dentro del análisis realizado por la Corte en la sentencia referida, afirmó el Alto Tribunal que el “</w:t>
      </w:r>
      <w:r w:rsidRPr="00485CC5">
        <w:rPr>
          <w:rFonts w:ascii="Bookman Old Style" w:eastAsia="Calibri" w:hAnsi="Bookman Old Style" w:cs="Calibri"/>
          <w:i/>
          <w:szCs w:val="24"/>
          <w:lang w:val="es-ES_tradnl"/>
        </w:rPr>
        <w:t>legislador puede prescribirme la forma en que debo comportarme con otros, pero no la forma en que debo comportarme conmigo mismo, en la medida en que mi conducta no interfiere con la órbita de acción de nadie.  Si de hecho lo hace, su prescripción sólo puede interpretarse de una de estas tres maneras: 1) expresa un deseo sin connotaciones normativas; 2) se asume dueño absoluto de la conducta de cada persona, aún en los aspectos que nada tienen que ver con la conducta ajena; 3) toma en cuenta la situación de otras personas a quienes la conducta del sujeto destinatario puede afectar.”</w:t>
      </w:r>
    </w:p>
    <w:p w:rsidR="007E2A01" w:rsidRPr="00485CC5" w:rsidRDefault="007E2A01" w:rsidP="007E2A01">
      <w:pPr>
        <w:jc w:val="both"/>
        <w:rPr>
          <w:rFonts w:ascii="Bookman Old Style" w:eastAsia="Calibri" w:hAnsi="Bookman Old Style" w:cs="Calibri"/>
          <w:szCs w:val="24"/>
          <w:lang w:val="es-ES_tradnl"/>
        </w:rPr>
      </w:pPr>
    </w:p>
    <w:p w:rsidR="007E2A01" w:rsidRPr="00485CC5" w:rsidRDefault="007E2A01" w:rsidP="007E2A01">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 xml:space="preserve">De lo anterior se desprende entonces que el Estado no está facultado para imponer, ni siquiera por la vía legislativa, unos límites al accionar de cada individuo en aquellas actividades que repercutan únicamente en su autodeterminación, menos </w:t>
      </w:r>
      <w:r w:rsidRPr="00485CC5">
        <w:rPr>
          <w:rFonts w:ascii="Bookman Old Style" w:eastAsia="Calibri" w:hAnsi="Bookman Old Style" w:cs="Calibri"/>
          <w:szCs w:val="24"/>
          <w:lang w:val="es-ES_tradnl"/>
        </w:rPr>
        <w:lastRenderedPageBreak/>
        <w:t>aun cuando estos límites tengan como único fundamento la imposición de una visión particular sobre lo que le conviene o no realizar al ser humano.</w:t>
      </w:r>
      <w:r w:rsidRPr="00485CC5">
        <w:rPr>
          <w:rStyle w:val="Refdenotaalpie"/>
          <w:rFonts w:ascii="Bookman Old Style" w:eastAsia="Calibri" w:hAnsi="Bookman Old Style" w:cs="Calibri"/>
          <w:szCs w:val="24"/>
          <w:lang w:val="es-ES_tradnl"/>
        </w:rPr>
        <w:footnoteReference w:id="56"/>
      </w:r>
    </w:p>
    <w:p w:rsidR="007E2A01" w:rsidRPr="00485CC5" w:rsidRDefault="007E2A01" w:rsidP="007E2A01">
      <w:pPr>
        <w:jc w:val="both"/>
        <w:rPr>
          <w:rFonts w:ascii="Bookman Old Style" w:eastAsia="Calibri" w:hAnsi="Bookman Old Style" w:cs="Calibri"/>
          <w:szCs w:val="24"/>
          <w:lang w:val="es-ES_tradnl"/>
        </w:rPr>
      </w:pPr>
    </w:p>
    <w:p w:rsidR="007E2A01" w:rsidRPr="00485CC5" w:rsidRDefault="007E2A01" w:rsidP="007E2A01">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Este análisis llevó a la Corte Constitucional, en aquella oportunidad, a declarar la inexequibilidad de los artículos 51 y 87 de la Ley 30 de 1986 que sancionaban el porte de dosis personal de cocaína, marihuana o cualquier otra droga que produjera dependencia, pues contrariaban abiertamente los postulados del derecho al libre desarrollo de la personalidad.</w:t>
      </w:r>
    </w:p>
    <w:p w:rsidR="007E2A01" w:rsidRPr="00485CC5" w:rsidRDefault="007E2A01" w:rsidP="007E2A01">
      <w:pPr>
        <w:jc w:val="both"/>
        <w:rPr>
          <w:rFonts w:ascii="Bookman Old Style" w:eastAsia="Calibri" w:hAnsi="Bookman Old Style" w:cs="Calibri"/>
          <w:szCs w:val="24"/>
          <w:lang w:val="es-ES_tradnl"/>
        </w:rPr>
      </w:pPr>
    </w:p>
    <w:p w:rsidR="007E2A01" w:rsidRPr="00485CC5" w:rsidRDefault="007E2A01" w:rsidP="007E2A01">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 xml:space="preserve">Sobre el particular, refirió la Corte que el consumo de este tipo de sustancias es un asunto que no escapa de la órbita del ser humano y, en consecuencia, no es un tema que pueda ser regulado por el Legislador, menos a través de la imposición de una prohibición absoluta. </w:t>
      </w:r>
    </w:p>
    <w:p w:rsidR="007E2A01" w:rsidRPr="00485CC5" w:rsidRDefault="007E2A01" w:rsidP="007E2A01">
      <w:pPr>
        <w:jc w:val="both"/>
        <w:rPr>
          <w:rFonts w:ascii="Bookman Old Style" w:eastAsia="Calibri" w:hAnsi="Bookman Old Style" w:cs="Calibri"/>
          <w:szCs w:val="24"/>
          <w:lang w:val="es-ES_tradnl"/>
        </w:rPr>
      </w:pPr>
    </w:p>
    <w:p w:rsidR="007E2A01" w:rsidRPr="00485CC5" w:rsidRDefault="007E2A01" w:rsidP="007E2A01">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 xml:space="preserve">En esa medida, a partir de la fecha, las personas quedaron facultadas para el porte y consumo de la dosis mínima. Lo cual fijó un claro límite entre la política criminal del Estado en materia de estupefacientes y la facultad individual para consumir estas sustancias, como expresión del derecho fundamental al libre desarrollo de la personalidad. </w:t>
      </w:r>
    </w:p>
    <w:p w:rsidR="007E2A01" w:rsidRPr="00485CC5" w:rsidRDefault="007E2A01" w:rsidP="007E2A01">
      <w:pPr>
        <w:rPr>
          <w:rFonts w:ascii="Bookman Old Style" w:eastAsia="Calibri" w:hAnsi="Bookman Old Style"/>
          <w:szCs w:val="24"/>
          <w:lang w:val="es-ES_tradnl"/>
        </w:rPr>
      </w:pPr>
    </w:p>
    <w:p w:rsidR="007E2A01" w:rsidRPr="00485CC5" w:rsidRDefault="007E2A01" w:rsidP="007E2A01">
      <w:pPr>
        <w:pStyle w:val="Ttulo2"/>
        <w:ind w:left="0"/>
        <w:rPr>
          <w:rFonts w:ascii="Bookman Old Style" w:eastAsia="Calibri" w:hAnsi="Bookman Old Style" w:cs="Calibri"/>
          <w:sz w:val="22"/>
          <w:szCs w:val="24"/>
        </w:rPr>
      </w:pPr>
      <w:r>
        <w:rPr>
          <w:rFonts w:ascii="Bookman Old Style" w:eastAsia="Calibri" w:hAnsi="Bookman Old Style" w:cs="Calibri"/>
          <w:sz w:val="22"/>
          <w:szCs w:val="24"/>
        </w:rPr>
        <w:t>7</w:t>
      </w:r>
      <w:r w:rsidRPr="00485CC5">
        <w:rPr>
          <w:rFonts w:ascii="Bookman Old Style" w:eastAsia="Calibri" w:hAnsi="Bookman Old Style" w:cs="Calibri"/>
          <w:sz w:val="22"/>
          <w:szCs w:val="24"/>
        </w:rPr>
        <w:t>.1.2. DERECHO A LA IGUALDAD</w:t>
      </w:r>
    </w:p>
    <w:p w:rsidR="007E2A01" w:rsidRPr="00485CC5" w:rsidRDefault="007E2A01" w:rsidP="007E2A01">
      <w:pPr>
        <w:jc w:val="both"/>
        <w:rPr>
          <w:rFonts w:ascii="Bookman Old Style" w:eastAsia="Calibri" w:hAnsi="Bookman Old Style" w:cs="Calibri"/>
          <w:szCs w:val="24"/>
          <w:lang w:val="es-ES_tradnl"/>
        </w:rPr>
      </w:pPr>
    </w:p>
    <w:p w:rsidR="007E2A01" w:rsidRPr="00485CC5" w:rsidRDefault="007E2A01" w:rsidP="007E2A01">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El derecho a la igualdad, consagrado en el artículo 13 de la Constitución Política</w:t>
      </w:r>
      <w:r w:rsidRPr="00485CC5">
        <w:rPr>
          <w:rStyle w:val="Refdenotaalpie"/>
          <w:rFonts w:ascii="Bookman Old Style" w:eastAsia="Calibri" w:hAnsi="Bookman Old Style" w:cs="Calibri"/>
          <w:szCs w:val="24"/>
          <w:lang w:val="es-ES_tradnl"/>
        </w:rPr>
        <w:footnoteReference w:id="57"/>
      </w:r>
      <w:r w:rsidRPr="00485CC5">
        <w:rPr>
          <w:rFonts w:ascii="Bookman Old Style" w:eastAsia="Calibri" w:hAnsi="Bookman Old Style" w:cs="Calibri"/>
          <w:szCs w:val="24"/>
          <w:lang w:val="es-ES_tradnl"/>
        </w:rPr>
        <w:t>, ha sido ampliamente desarrollado por la jurisprudencia constitucional que le ha reconocido una estructura compleja, compuesta por varias facetas</w:t>
      </w:r>
      <w:r w:rsidRPr="00485CC5">
        <w:rPr>
          <w:rStyle w:val="Refdenotaalpie"/>
          <w:rFonts w:ascii="Bookman Old Style" w:eastAsia="Calibri" w:hAnsi="Bookman Old Style" w:cs="Calibri"/>
          <w:szCs w:val="24"/>
          <w:lang w:val="es-ES_tradnl"/>
        </w:rPr>
        <w:footnoteReference w:id="58"/>
      </w:r>
      <w:r w:rsidRPr="00485CC5">
        <w:rPr>
          <w:rFonts w:ascii="Bookman Old Style" w:eastAsia="Calibri" w:hAnsi="Bookman Old Style" w:cs="Calibri"/>
          <w:szCs w:val="24"/>
          <w:lang w:val="es-ES_tradnl"/>
        </w:rPr>
        <w:t xml:space="preserve">: la igualdad como valor, como principio y como derecho. </w:t>
      </w:r>
    </w:p>
    <w:p w:rsidR="007E2A01" w:rsidRPr="00485CC5" w:rsidRDefault="007E2A01" w:rsidP="007E2A01">
      <w:pPr>
        <w:jc w:val="both"/>
        <w:rPr>
          <w:rFonts w:ascii="Bookman Old Style" w:eastAsia="Calibri" w:hAnsi="Bookman Old Style" w:cs="Calibri"/>
          <w:szCs w:val="24"/>
          <w:lang w:val="es-ES_tradnl"/>
        </w:rPr>
      </w:pPr>
    </w:p>
    <w:p w:rsidR="007E2A01" w:rsidRPr="00485CC5" w:rsidRDefault="007E2A01" w:rsidP="007E2A01">
      <w:pPr>
        <w:ind w:left="720" w:right="900"/>
        <w:jc w:val="both"/>
        <w:rPr>
          <w:rFonts w:ascii="Bookman Old Style" w:eastAsia="Calibri" w:hAnsi="Bookman Old Style" w:cs="Calibri"/>
          <w:i/>
          <w:sz w:val="20"/>
          <w:lang w:val="es-ES_tradnl"/>
        </w:rPr>
      </w:pPr>
      <w:r w:rsidRPr="00485CC5">
        <w:rPr>
          <w:rFonts w:ascii="Bookman Old Style" w:eastAsia="Calibri" w:hAnsi="Bookman Old Style" w:cs="Calibri"/>
          <w:i/>
          <w:sz w:val="20"/>
          <w:lang w:val="es-ES_tradnl"/>
        </w:rPr>
        <w:t xml:space="preserve">“En tanto valor, la igualdad es una norma que establece fines o propósitos, cuya realización es exigible a todas las autoridades públicas y en especial al legislador, en el desarrollo de su labor de concreción de los textos constitucionales. </w:t>
      </w:r>
    </w:p>
    <w:p w:rsidR="007E2A01" w:rsidRPr="00485CC5" w:rsidRDefault="007E2A01" w:rsidP="007E2A01">
      <w:pPr>
        <w:ind w:left="720" w:right="900"/>
        <w:jc w:val="both"/>
        <w:rPr>
          <w:rFonts w:ascii="Bookman Old Style" w:eastAsia="Calibri" w:hAnsi="Bookman Old Style" w:cs="Calibri"/>
          <w:i/>
          <w:sz w:val="20"/>
          <w:lang w:val="es-ES_tradnl"/>
        </w:rPr>
      </w:pPr>
    </w:p>
    <w:p w:rsidR="007E2A01" w:rsidRPr="00485CC5" w:rsidRDefault="007E2A01" w:rsidP="007E2A01">
      <w:pPr>
        <w:ind w:left="720" w:right="900"/>
        <w:jc w:val="both"/>
        <w:rPr>
          <w:rFonts w:ascii="Bookman Old Style" w:eastAsia="Calibri" w:hAnsi="Bookman Old Style" w:cs="Calibri"/>
          <w:i/>
          <w:sz w:val="20"/>
          <w:lang w:val="es-ES_tradnl"/>
        </w:rPr>
      </w:pPr>
      <w:r w:rsidRPr="00485CC5">
        <w:rPr>
          <w:rFonts w:ascii="Bookman Old Style" w:eastAsia="Calibri" w:hAnsi="Bookman Old Style" w:cs="Calibri"/>
          <w:i/>
          <w:sz w:val="20"/>
          <w:lang w:val="es-ES_tradnl"/>
        </w:rPr>
        <w:t xml:space="preserve">En su rol de principio, se ha considerado como un mandato de optimización que establece un deber ser específico, que admite su incorporación en reglas concretas derivadas del ejercicio de la función legislativa o que habilita su uso como herramienta general en la resolución de controversias sometidas a la decisión de los jueces. </w:t>
      </w:r>
    </w:p>
    <w:p w:rsidR="007E2A01" w:rsidRPr="00485CC5" w:rsidRDefault="007E2A01" w:rsidP="007E2A01">
      <w:pPr>
        <w:ind w:left="720" w:right="900"/>
        <w:jc w:val="both"/>
        <w:rPr>
          <w:rFonts w:ascii="Bookman Old Style" w:eastAsia="Calibri" w:hAnsi="Bookman Old Style" w:cs="Calibri"/>
          <w:i/>
          <w:sz w:val="20"/>
          <w:lang w:val="es-ES_tradnl"/>
        </w:rPr>
      </w:pPr>
    </w:p>
    <w:p w:rsidR="007E2A01" w:rsidRPr="00DC49AD" w:rsidRDefault="007E2A01" w:rsidP="007E2A01">
      <w:pPr>
        <w:ind w:left="720" w:right="900"/>
        <w:jc w:val="both"/>
        <w:rPr>
          <w:rFonts w:ascii="Bookman Old Style" w:eastAsia="Calibri" w:hAnsi="Bookman Old Style" w:cs="Calibri"/>
          <w:i/>
          <w:sz w:val="20"/>
          <w:lang w:val="es-ES_tradnl"/>
        </w:rPr>
      </w:pPr>
      <w:r w:rsidRPr="00485CC5">
        <w:rPr>
          <w:rFonts w:ascii="Bookman Old Style" w:eastAsia="Calibri" w:hAnsi="Bookman Old Style" w:cs="Calibri"/>
          <w:i/>
          <w:sz w:val="20"/>
          <w:lang w:val="es-ES_tradnl"/>
        </w:rPr>
        <w:t>Finalmente, en tanto derecho, la igualdad se manifiesta en una potestad o facultad subjetiva que impone deberes de abstención como la prohibición de la discriminación, al mismo tiempo que exige obligaciones puntuales de acción, como ocurre con la consagración de tratos favorables para grupos puestos en situación de debilidad manifiesta.”</w:t>
      </w:r>
      <w:r w:rsidRPr="00485CC5">
        <w:rPr>
          <w:rStyle w:val="Refdenotaalpie"/>
          <w:rFonts w:ascii="Bookman Old Style" w:eastAsia="Calibri" w:hAnsi="Bookman Old Style" w:cs="Calibri"/>
          <w:i/>
          <w:sz w:val="20"/>
          <w:lang w:val="es-ES_tradnl"/>
        </w:rPr>
        <w:footnoteReference w:id="59"/>
      </w:r>
    </w:p>
    <w:p w:rsidR="007E2A01" w:rsidRPr="00485CC5" w:rsidRDefault="007E2A01" w:rsidP="007E2A01">
      <w:pPr>
        <w:jc w:val="both"/>
        <w:rPr>
          <w:rFonts w:ascii="Bookman Old Style" w:eastAsia="Calibri" w:hAnsi="Bookman Old Style" w:cs="Calibri"/>
          <w:i/>
          <w:szCs w:val="24"/>
          <w:lang w:val="es-ES_tradnl"/>
        </w:rPr>
      </w:pPr>
    </w:p>
    <w:p w:rsidR="007E2A01" w:rsidRPr="00485CC5" w:rsidRDefault="007E2A01" w:rsidP="007E2A01">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El principio impone al Estado entonces el deber de tratar a todos sus ciudadanos, de tal modo que las cargas y las ventajas sociales se distribuyan equitativamente entre ellos. Este deber, a su vez implica la implementación de cuatro mandatos:</w:t>
      </w:r>
    </w:p>
    <w:p w:rsidR="007E2A01" w:rsidRPr="00485CC5" w:rsidRDefault="007E2A01" w:rsidP="007E2A01">
      <w:pPr>
        <w:ind w:left="851" w:hanging="283"/>
        <w:jc w:val="both"/>
        <w:rPr>
          <w:rFonts w:ascii="Bookman Old Style" w:eastAsia="Calibri" w:hAnsi="Bookman Old Style" w:cs="Calibri"/>
          <w:szCs w:val="24"/>
          <w:lang w:val="es-ES_tradnl"/>
        </w:rPr>
      </w:pPr>
    </w:p>
    <w:p w:rsidR="007E2A01" w:rsidRPr="00621929" w:rsidRDefault="007E2A01" w:rsidP="007E2A01">
      <w:pPr>
        <w:pStyle w:val="Prrafodelista"/>
        <w:numPr>
          <w:ilvl w:val="0"/>
          <w:numId w:val="37"/>
        </w:numPr>
        <w:spacing w:after="0" w:line="240" w:lineRule="auto"/>
        <w:jc w:val="both"/>
        <w:rPr>
          <w:rFonts w:ascii="Bookman Old Style" w:eastAsia="Calibri" w:hAnsi="Bookman Old Style" w:cs="Calibri"/>
          <w:szCs w:val="24"/>
          <w:lang w:val="es-ES_tradnl"/>
        </w:rPr>
      </w:pPr>
      <w:r w:rsidRPr="00621929">
        <w:rPr>
          <w:rFonts w:ascii="Bookman Old Style" w:eastAsia="Calibri" w:hAnsi="Bookman Old Style" w:cs="Calibri"/>
          <w:szCs w:val="24"/>
          <w:lang w:val="es-ES_tradnl"/>
        </w:rPr>
        <w:t>-Trato idéntico a quienes se encuentren en circunstancias idénticas.</w:t>
      </w:r>
    </w:p>
    <w:p w:rsidR="007E2A01" w:rsidRPr="00485CC5" w:rsidRDefault="007E2A01" w:rsidP="007E2A01">
      <w:pPr>
        <w:jc w:val="both"/>
        <w:rPr>
          <w:rFonts w:ascii="Bookman Old Style" w:hAnsi="Bookman Old Style" w:cs="Calibri"/>
          <w:szCs w:val="24"/>
          <w:lang w:val="es-ES_tradnl"/>
        </w:rPr>
      </w:pPr>
    </w:p>
    <w:p w:rsidR="007E2A01" w:rsidRPr="00621929" w:rsidRDefault="007E2A01" w:rsidP="007E2A01">
      <w:pPr>
        <w:pStyle w:val="Prrafodelista"/>
        <w:numPr>
          <w:ilvl w:val="0"/>
          <w:numId w:val="37"/>
        </w:numPr>
        <w:spacing w:after="0" w:line="240" w:lineRule="auto"/>
        <w:jc w:val="both"/>
        <w:rPr>
          <w:rFonts w:ascii="Bookman Old Style" w:eastAsia="Calibri" w:hAnsi="Bookman Old Style" w:cs="Calibri"/>
          <w:szCs w:val="24"/>
          <w:lang w:val="es-ES_tradnl"/>
        </w:rPr>
      </w:pPr>
      <w:r w:rsidRPr="00621929">
        <w:rPr>
          <w:rFonts w:ascii="Bookman Old Style" w:eastAsia="Calibri" w:hAnsi="Bookman Old Style" w:cs="Calibri"/>
          <w:szCs w:val="24"/>
          <w:lang w:val="es-ES_tradnl"/>
        </w:rPr>
        <w:t>-Trato enteramente diferenciado a quienes no compartan con otros, ningún elemento en común.</w:t>
      </w:r>
    </w:p>
    <w:p w:rsidR="007E2A01" w:rsidRPr="00485CC5" w:rsidRDefault="007E2A01" w:rsidP="007E2A01">
      <w:pPr>
        <w:ind w:left="568"/>
        <w:jc w:val="both"/>
        <w:rPr>
          <w:rFonts w:ascii="Bookman Old Style" w:hAnsi="Bookman Old Style" w:cs="Calibri"/>
          <w:szCs w:val="24"/>
          <w:lang w:val="es-ES_tradnl"/>
        </w:rPr>
      </w:pPr>
    </w:p>
    <w:p w:rsidR="007E2A01" w:rsidRPr="00621929" w:rsidRDefault="007E2A01" w:rsidP="007E2A01">
      <w:pPr>
        <w:pStyle w:val="Prrafodelista"/>
        <w:numPr>
          <w:ilvl w:val="0"/>
          <w:numId w:val="37"/>
        </w:numPr>
        <w:spacing w:after="0" w:line="240" w:lineRule="auto"/>
        <w:jc w:val="both"/>
        <w:rPr>
          <w:rFonts w:ascii="Bookman Old Style" w:eastAsia="Calibri" w:hAnsi="Bookman Old Style" w:cs="Calibri"/>
          <w:szCs w:val="24"/>
          <w:lang w:val="es-ES_tradnl"/>
        </w:rPr>
      </w:pPr>
      <w:r w:rsidRPr="00621929">
        <w:rPr>
          <w:rFonts w:ascii="Bookman Old Style" w:eastAsia="Calibri" w:hAnsi="Bookman Old Style" w:cs="Calibri"/>
          <w:szCs w:val="24"/>
          <w:lang w:val="es-ES_tradnl"/>
        </w:rPr>
        <w:t>-Trato paritario a quienes se encuentren en una posición similar y diversa, pero las similitudes sean más relevantes que las diferencias (trato igual a pesar de las diferencias).</w:t>
      </w:r>
    </w:p>
    <w:p w:rsidR="007E2A01" w:rsidRPr="00485CC5" w:rsidRDefault="007E2A01" w:rsidP="007E2A01">
      <w:pPr>
        <w:jc w:val="both"/>
        <w:rPr>
          <w:rFonts w:ascii="Bookman Old Style" w:hAnsi="Bookman Old Style" w:cs="Calibri"/>
          <w:szCs w:val="24"/>
          <w:lang w:val="es-ES_tradnl"/>
        </w:rPr>
      </w:pPr>
    </w:p>
    <w:p w:rsidR="007E2A01" w:rsidRPr="00621929" w:rsidRDefault="007E2A01" w:rsidP="007E2A01">
      <w:pPr>
        <w:pStyle w:val="Prrafodelista"/>
        <w:numPr>
          <w:ilvl w:val="0"/>
          <w:numId w:val="37"/>
        </w:numPr>
        <w:spacing w:after="0" w:line="240" w:lineRule="auto"/>
        <w:jc w:val="both"/>
        <w:rPr>
          <w:rFonts w:ascii="Bookman Old Style" w:hAnsi="Bookman Old Style" w:cs="Calibri"/>
          <w:szCs w:val="24"/>
          <w:lang w:val="es-ES_tradnl"/>
        </w:rPr>
      </w:pPr>
      <w:r w:rsidRPr="00621929">
        <w:rPr>
          <w:rFonts w:ascii="Bookman Old Style" w:eastAsia="Calibri" w:hAnsi="Bookman Old Style" w:cs="Calibri"/>
          <w:szCs w:val="24"/>
          <w:lang w:val="es-ES_tradnl"/>
        </w:rPr>
        <w:t>-Trato diferenciado a destinatarios a quienes se encuentren en una posición en parte similar y en parte diversa, pero que las diferencias sean más relevantes que las similitudes.</w:t>
      </w:r>
      <w:r w:rsidRPr="00485CC5">
        <w:rPr>
          <w:rStyle w:val="Refdenotaalpie"/>
          <w:rFonts w:ascii="Bookman Old Style" w:eastAsia="Calibri" w:hAnsi="Bookman Old Style" w:cs="Calibri"/>
          <w:szCs w:val="24"/>
          <w:lang w:val="es-ES_tradnl"/>
        </w:rPr>
        <w:footnoteReference w:id="60"/>
      </w:r>
    </w:p>
    <w:p w:rsidR="007E2A01" w:rsidRPr="00485CC5" w:rsidRDefault="007E2A01" w:rsidP="007E2A01">
      <w:pPr>
        <w:jc w:val="both"/>
        <w:rPr>
          <w:rFonts w:ascii="Bookman Old Style" w:eastAsia="Calibri" w:hAnsi="Bookman Old Style" w:cs="Calibri"/>
          <w:szCs w:val="24"/>
          <w:lang w:val="es-ES_tradnl"/>
        </w:rPr>
      </w:pPr>
    </w:p>
    <w:p w:rsidR="007E2A01" w:rsidRPr="00485CC5" w:rsidRDefault="007E2A01" w:rsidP="007E2A01">
      <w:pPr>
        <w:jc w:val="both"/>
        <w:rPr>
          <w:rFonts w:ascii="Bookman Old Style" w:eastAsia="Calibri" w:hAnsi="Bookman Old Style" w:cs="Calibri"/>
          <w:b/>
          <w:i/>
          <w:szCs w:val="24"/>
          <w:lang w:val="es-ES_tradnl"/>
        </w:rPr>
      </w:pPr>
      <w:r w:rsidRPr="00485CC5">
        <w:rPr>
          <w:rFonts w:ascii="Bookman Old Style" w:eastAsia="Calibri" w:hAnsi="Bookman Old Style" w:cs="Calibri"/>
          <w:szCs w:val="24"/>
          <w:lang w:val="es-ES_tradnl"/>
        </w:rPr>
        <w:t xml:space="preserve">Lo anterior es consecuente con el pronunciamiento de la Corte Constitucional, en la Sentencia C-221 de 1994 en </w:t>
      </w:r>
      <w:r>
        <w:rPr>
          <w:rFonts w:ascii="Bookman Old Style" w:eastAsia="Calibri" w:hAnsi="Bookman Old Style" w:cs="Calibri"/>
          <w:szCs w:val="24"/>
          <w:lang w:val="es-ES_tradnl"/>
        </w:rPr>
        <w:t>el</w:t>
      </w:r>
      <w:r w:rsidRPr="00485CC5">
        <w:rPr>
          <w:rFonts w:ascii="Bookman Old Style" w:eastAsia="Calibri" w:hAnsi="Bookman Old Style" w:cs="Calibri"/>
          <w:szCs w:val="24"/>
          <w:lang w:val="es-ES_tradnl"/>
        </w:rPr>
        <w:t xml:space="preserve"> que una de las circunstancias que motivó la inexequibilidad de las disposiciones que penalizaban la dosis personal fue que </w:t>
      </w:r>
      <w:r>
        <w:rPr>
          <w:rFonts w:ascii="Bookman Old Style" w:eastAsia="Calibri" w:hAnsi="Bookman Old Style" w:cs="Calibri"/>
          <w:szCs w:val="24"/>
          <w:lang w:val="es-ES_tradnl"/>
        </w:rPr>
        <w:t>la</w:t>
      </w:r>
      <w:r w:rsidRPr="00485CC5">
        <w:rPr>
          <w:rFonts w:ascii="Bookman Old Style" w:eastAsia="Calibri" w:hAnsi="Bookman Old Style" w:cs="Calibri"/>
          <w:szCs w:val="24"/>
          <w:lang w:val="es-ES_tradnl"/>
        </w:rPr>
        <w:t xml:space="preserve"> medida implicaba un trato discriminatorio hacia los consumidores. Esto, en tanto no se demostró que existiera un fundamento constitucional para soportar esta prohibición que únicamente traía como efecto la limitación de los derechos de un grupo poblacional. </w:t>
      </w:r>
    </w:p>
    <w:p w:rsidR="007E2A01" w:rsidRPr="00485CC5" w:rsidRDefault="007E2A01" w:rsidP="007E2A01">
      <w:pPr>
        <w:jc w:val="both"/>
        <w:rPr>
          <w:rFonts w:ascii="Bookman Old Style" w:eastAsia="Calibri" w:hAnsi="Bookman Old Style" w:cs="Calibri"/>
          <w:b/>
          <w:i/>
          <w:szCs w:val="24"/>
          <w:lang w:val="es-ES_tradnl"/>
        </w:rPr>
      </w:pPr>
    </w:p>
    <w:p w:rsidR="007E2A01" w:rsidRPr="00485CC5" w:rsidRDefault="007E2A01" w:rsidP="007E2A01">
      <w:pPr>
        <w:jc w:val="both"/>
        <w:rPr>
          <w:rFonts w:ascii="Bookman Old Style" w:eastAsia="Calibri" w:hAnsi="Bookman Old Style" w:cs="Calibri"/>
          <w:b/>
          <w:szCs w:val="24"/>
          <w:lang w:val="es-ES_tradnl"/>
        </w:rPr>
      </w:pPr>
      <w:r>
        <w:rPr>
          <w:rFonts w:ascii="Bookman Old Style" w:eastAsia="Calibri" w:hAnsi="Bookman Old Style" w:cs="Calibri"/>
          <w:b/>
          <w:szCs w:val="24"/>
          <w:lang w:val="es-ES_tradnl"/>
        </w:rPr>
        <w:t>7</w:t>
      </w:r>
      <w:r w:rsidRPr="00485CC5">
        <w:rPr>
          <w:rFonts w:ascii="Bookman Old Style" w:eastAsia="Calibri" w:hAnsi="Bookman Old Style" w:cs="Calibri"/>
          <w:b/>
          <w:szCs w:val="24"/>
          <w:lang w:val="es-ES_tradnl"/>
        </w:rPr>
        <w:t>.1.3. DERECHO A LA SALUD.</w:t>
      </w:r>
    </w:p>
    <w:p w:rsidR="007E2A01" w:rsidRPr="00485CC5" w:rsidRDefault="007E2A01" w:rsidP="007E2A01">
      <w:pPr>
        <w:jc w:val="both"/>
        <w:rPr>
          <w:rFonts w:ascii="Bookman Old Style" w:eastAsia="Calibri" w:hAnsi="Bookman Old Style" w:cs="Calibri"/>
          <w:b/>
          <w:szCs w:val="24"/>
          <w:lang w:val="es-ES_tradnl"/>
        </w:rPr>
      </w:pPr>
    </w:p>
    <w:p w:rsidR="007E2A01" w:rsidRPr="00BA2C74" w:rsidRDefault="007E2A01" w:rsidP="007E2A01">
      <w:pPr>
        <w:jc w:val="both"/>
        <w:rPr>
          <w:rFonts w:ascii="Bookman Old Style" w:eastAsia="Calibri" w:hAnsi="Bookman Old Style" w:cs="Calibri"/>
          <w:lang w:val="es-ES_tradnl"/>
        </w:rPr>
      </w:pPr>
      <w:r w:rsidRPr="00BA2C74">
        <w:rPr>
          <w:rFonts w:ascii="Bookman Old Style" w:eastAsia="Calibri" w:hAnsi="Bookman Old Style" w:cs="Calibri"/>
          <w:lang w:val="es-ES_tradnl"/>
        </w:rPr>
        <w:t xml:space="preserve">Ahora bien, como fue advertido al inicio de esta exposición de motivos, a pesar del pronunciamiento de la Corte Constitucional y del reconocimiento, realizado vía jurisprudencial, de los derechos al libre desarrollo de la personalidad y la igualdad de los consumidores, desde el año 1994 iniciaron las iniciativas de reforma constitucional para prohibir el porte y consumo de estupefacientes. </w:t>
      </w:r>
    </w:p>
    <w:p w:rsidR="007E2A01" w:rsidRPr="00BA2C74" w:rsidRDefault="007E2A01" w:rsidP="007E2A01">
      <w:pPr>
        <w:jc w:val="both"/>
        <w:rPr>
          <w:rFonts w:ascii="Bookman Old Style" w:eastAsia="Calibri" w:hAnsi="Bookman Old Style" w:cs="Calibri"/>
          <w:lang w:val="es-ES_tradnl"/>
        </w:rPr>
      </w:pPr>
    </w:p>
    <w:p w:rsidR="007E2A01" w:rsidRPr="00BA2C74" w:rsidRDefault="007E2A01" w:rsidP="007E2A01">
      <w:pPr>
        <w:jc w:val="both"/>
        <w:rPr>
          <w:rFonts w:ascii="Bookman Old Style" w:eastAsia="Calibri" w:hAnsi="Bookman Old Style" w:cs="Calibri"/>
          <w:lang w:val="es-ES_tradnl"/>
        </w:rPr>
      </w:pPr>
      <w:r w:rsidRPr="00BA2C74">
        <w:rPr>
          <w:rFonts w:ascii="Bookman Old Style" w:eastAsia="Calibri" w:hAnsi="Bookman Old Style" w:cs="Calibri"/>
          <w:lang w:val="es-ES_tradnl"/>
        </w:rPr>
        <w:t xml:space="preserve">En la sentencia C-574 de 2011, a través de la cual la Corte Constitucional estudió la demanda del Acto Legislativo 02 de 2009, se relataron todos los intentos de modificación del artículo 16 de la Constitución Política que finalmente se concretaron en el 2009 con un enfoque distinto: la protección al derecho a la salud. </w:t>
      </w:r>
    </w:p>
    <w:p w:rsidR="007E2A01" w:rsidRPr="00BA2C74" w:rsidRDefault="007E2A01" w:rsidP="007E2A01">
      <w:pPr>
        <w:jc w:val="both"/>
        <w:rPr>
          <w:rFonts w:ascii="Bookman Old Style" w:eastAsia="Calibri" w:hAnsi="Bookman Old Style" w:cs="Calibri"/>
          <w:lang w:val="es-ES_tradnl"/>
        </w:rPr>
      </w:pPr>
    </w:p>
    <w:p w:rsidR="007E2A01" w:rsidRPr="00BA2C74" w:rsidRDefault="007E2A01" w:rsidP="007E2A01">
      <w:pPr>
        <w:jc w:val="both"/>
        <w:rPr>
          <w:rFonts w:ascii="Bookman Old Style" w:eastAsia="Calibri" w:hAnsi="Bookman Old Style" w:cs="Calibri"/>
          <w:lang w:val="es-ES_tradnl"/>
        </w:rPr>
      </w:pPr>
      <w:r w:rsidRPr="00BA2C74">
        <w:rPr>
          <w:rFonts w:ascii="Bookman Old Style" w:eastAsia="Calibri" w:hAnsi="Bookman Old Style" w:cs="Calibri"/>
          <w:lang w:val="es-ES_tradnl"/>
        </w:rPr>
        <w:t>El artículo 49 de la Carta Política consagra la salud como un servicio público a cargo del Estado, entendido como el conjunto de políticas que buscan garantizar integralmente la salud de la población, por medio de acciones de salubridad colectiva e individual, y sus resultados se constituyen en indicadores de las condiciones de vida, bienestar y desarrollo del país.</w:t>
      </w:r>
    </w:p>
    <w:p w:rsidR="007E2A01" w:rsidRPr="00BA2C74" w:rsidRDefault="007E2A01" w:rsidP="007E2A01">
      <w:pPr>
        <w:jc w:val="both"/>
        <w:rPr>
          <w:rFonts w:ascii="Bookman Old Style" w:eastAsia="Calibri" w:hAnsi="Bookman Old Style" w:cs="Calibri"/>
          <w:lang w:val="es-ES_tradnl"/>
        </w:rPr>
      </w:pPr>
    </w:p>
    <w:p w:rsidR="007E2A01" w:rsidRPr="00BA2C74" w:rsidRDefault="007E2A01" w:rsidP="007E2A01">
      <w:pPr>
        <w:jc w:val="both"/>
        <w:rPr>
          <w:rFonts w:ascii="Bookman Old Style" w:eastAsia="Calibri" w:hAnsi="Bookman Old Style" w:cs="Calibri"/>
          <w:lang w:val="es-ES_tradnl"/>
        </w:rPr>
      </w:pPr>
      <w:r w:rsidRPr="00BA2C74">
        <w:rPr>
          <w:rFonts w:ascii="Bookman Old Style" w:eastAsia="Calibri" w:hAnsi="Bookman Old Style" w:cs="Calibri"/>
          <w:lang w:val="es-ES_tradnl"/>
        </w:rPr>
        <w:t xml:space="preserve">No obstante, a través de amplia jurisprudencia, la Corte Constitucional consolidó </w:t>
      </w:r>
      <w:r w:rsidRPr="00BA2C74">
        <w:rPr>
          <w:rFonts w:ascii="Bookman Old Style" w:eastAsia="Calibri" w:hAnsi="Bookman Old Style" w:cs="Calibri"/>
          <w:lang w:val="es-ES_tradnl"/>
        </w:rPr>
        <w:lastRenderedPageBreak/>
        <w:t>un proceso de reconocimiento de la Salud como un derecho fundamental que culminó con la expedición de la Ley 1751 de 2015.</w:t>
      </w:r>
      <w:r w:rsidRPr="00BA2C74">
        <w:rPr>
          <w:rStyle w:val="Refdenotaalpie"/>
          <w:rFonts w:ascii="Bookman Old Style" w:eastAsia="Calibri" w:hAnsi="Bookman Old Style" w:cs="Calibri"/>
          <w:lang w:val="es-ES_tradnl"/>
        </w:rPr>
        <w:footnoteReference w:id="61"/>
      </w:r>
    </w:p>
    <w:p w:rsidR="007E2A01" w:rsidRPr="00BA2C74" w:rsidRDefault="007E2A01" w:rsidP="007E2A01">
      <w:pPr>
        <w:jc w:val="both"/>
        <w:rPr>
          <w:rFonts w:ascii="Bookman Old Style" w:eastAsia="Calibri" w:hAnsi="Bookman Old Style" w:cs="Calibri"/>
          <w:lang w:val="es-ES_tradnl"/>
        </w:rPr>
      </w:pPr>
    </w:p>
    <w:p w:rsidR="007E2A01" w:rsidRPr="00BA2C74" w:rsidRDefault="007E2A01" w:rsidP="007E2A01">
      <w:pPr>
        <w:jc w:val="both"/>
        <w:rPr>
          <w:rFonts w:ascii="Bookman Old Style" w:eastAsia="Calibri" w:hAnsi="Bookman Old Style" w:cs="Calibri"/>
          <w:lang w:val="es-ES_tradnl"/>
        </w:rPr>
      </w:pPr>
      <w:r w:rsidRPr="00BA2C74">
        <w:rPr>
          <w:rFonts w:ascii="Bookman Old Style" w:eastAsia="Calibri" w:hAnsi="Bookman Old Style" w:cs="Calibri"/>
          <w:lang w:val="es-ES_tradnl"/>
        </w:rPr>
        <w:t xml:space="preserve">Teniendo en cuenta que el consumo de </w:t>
      </w:r>
      <w:r w:rsidR="00C12FD9">
        <w:rPr>
          <w:rFonts w:ascii="Bookman Old Style" w:eastAsia="Calibri" w:hAnsi="Bookman Old Style" w:cs="Calibri"/>
          <w:lang w:val="es-ES_tradnl"/>
        </w:rPr>
        <w:t>sustancias psicoactivas</w:t>
      </w:r>
      <w:r w:rsidRPr="00BA2C74">
        <w:rPr>
          <w:rFonts w:ascii="Bookman Old Style" w:eastAsia="Calibri" w:hAnsi="Bookman Old Style" w:cs="Calibri"/>
          <w:lang w:val="es-ES_tradnl"/>
        </w:rPr>
        <w:t xml:space="preserve"> había sido tratado también por la jurisprudencia constitucional desde el enfoque de los sujetos farmacodependientes, en el año 2009 se impulsó el Acto Legislativo que incluyó la prohibición del porte y consumo de estas sustancias, desde el artículo 49 constitucional.</w:t>
      </w:r>
    </w:p>
    <w:p w:rsidR="007E2A01" w:rsidRPr="00BA2C74" w:rsidRDefault="007E2A01" w:rsidP="007E2A01">
      <w:pPr>
        <w:jc w:val="both"/>
        <w:rPr>
          <w:rFonts w:ascii="Bookman Old Style" w:eastAsia="Calibri" w:hAnsi="Bookman Old Style" w:cs="Calibri"/>
          <w:lang w:val="es-ES_tradnl"/>
        </w:rPr>
      </w:pPr>
    </w:p>
    <w:p w:rsidR="007E2A01" w:rsidRPr="00BA2C74" w:rsidRDefault="007E2A01" w:rsidP="007E2A01">
      <w:pPr>
        <w:jc w:val="both"/>
        <w:rPr>
          <w:rFonts w:ascii="Bookman Old Style" w:eastAsia="Calibri" w:hAnsi="Bookman Old Style" w:cs="Calibri"/>
          <w:lang w:val="es-ES_tradnl"/>
        </w:rPr>
      </w:pPr>
      <w:r w:rsidRPr="00BA2C74">
        <w:rPr>
          <w:rFonts w:ascii="Bookman Old Style" w:eastAsia="Calibri" w:hAnsi="Bookman Old Style" w:cs="Calibri"/>
          <w:lang w:val="es-ES_tradnl"/>
        </w:rPr>
        <w:t xml:space="preserve">Sobre esta materia, la Corte había venido reconociendo que es </w:t>
      </w:r>
      <w:r w:rsidRPr="00BA2C74">
        <w:rPr>
          <w:rFonts w:ascii="Bookman Old Style" w:eastAsia="Calibri" w:hAnsi="Bookman Old Style" w:cs="Calibri"/>
          <w:i/>
          <w:lang w:val="es-ES_tradnl"/>
        </w:rPr>
        <w:t>“deber del Estado de brindar a las personas farmacodependiente el tratamiento necesario para superar el estado de alteración al que se encuentra sometido, resaltando que para la prestación de este servicio se debe tener en cuenta aspectos como el tiempo de consumo, la sustancia ingerida y los problemas personales que del consumo se han derivado”.</w:t>
      </w:r>
      <w:r w:rsidRPr="00BA2C74">
        <w:rPr>
          <w:rStyle w:val="Refdenotaalpie"/>
          <w:rFonts w:ascii="Bookman Old Style" w:eastAsia="Calibri" w:hAnsi="Bookman Old Style" w:cs="Calibri"/>
          <w:i/>
          <w:lang w:val="es-ES_tradnl"/>
        </w:rPr>
        <w:footnoteReference w:id="62"/>
      </w:r>
    </w:p>
    <w:p w:rsidR="007E2A01" w:rsidRPr="00BA2C74" w:rsidRDefault="007E2A01" w:rsidP="007E2A01">
      <w:pPr>
        <w:jc w:val="both"/>
        <w:rPr>
          <w:rFonts w:ascii="Bookman Old Style" w:eastAsia="Calibri" w:hAnsi="Bookman Old Style" w:cs="Calibri"/>
          <w:b/>
          <w:i/>
          <w:lang w:val="es-ES_tradnl"/>
        </w:rPr>
      </w:pPr>
    </w:p>
    <w:p w:rsidR="007E2A01" w:rsidRPr="00BA2C74" w:rsidRDefault="007E2A01" w:rsidP="007E2A01">
      <w:pPr>
        <w:jc w:val="both"/>
        <w:rPr>
          <w:rFonts w:ascii="Bookman Old Style" w:eastAsia="Calibri" w:hAnsi="Bookman Old Style" w:cs="Calibri"/>
          <w:lang w:val="es-ES_tradnl"/>
        </w:rPr>
      </w:pPr>
      <w:r w:rsidRPr="00BA2C74">
        <w:rPr>
          <w:rFonts w:ascii="Bookman Old Style" w:eastAsia="Calibri" w:hAnsi="Bookman Old Style" w:cs="Calibri"/>
          <w:lang w:val="es-ES_tradnl"/>
        </w:rPr>
        <w:t>Así las cosas, partiendo de la posible afectación que el consumo podría generar en los individuos y en la protección al derecho a la salud de los colombianos, en el 2009 se incluyeron las siguientes modificaciones al artículo 49 C.P:</w:t>
      </w:r>
    </w:p>
    <w:p w:rsidR="007E2A01" w:rsidRPr="00BA2C74" w:rsidRDefault="007E2A01" w:rsidP="007E2A01">
      <w:pPr>
        <w:jc w:val="both"/>
        <w:rPr>
          <w:rFonts w:ascii="Bookman Old Style" w:eastAsia="Calibri" w:hAnsi="Bookman Old Style" w:cs="Calibri"/>
          <w:lang w:val="es-ES_tradnl"/>
        </w:rPr>
      </w:pPr>
    </w:p>
    <w:p w:rsidR="007E2A01" w:rsidRPr="00517032" w:rsidRDefault="007E2A01" w:rsidP="007E2A01">
      <w:pPr>
        <w:ind w:left="851" w:right="900"/>
        <w:jc w:val="both"/>
        <w:rPr>
          <w:rFonts w:ascii="Bookman Old Style" w:eastAsia="Calibri" w:hAnsi="Bookman Old Style" w:cs="Calibri"/>
          <w:b/>
          <w:i/>
          <w:sz w:val="20"/>
          <w:szCs w:val="20"/>
          <w:lang w:val="es-ES_tradnl"/>
        </w:rPr>
      </w:pPr>
      <w:r w:rsidRPr="00517032">
        <w:rPr>
          <w:rFonts w:ascii="Bookman Old Style" w:eastAsia="Calibri" w:hAnsi="Bookman Old Style" w:cs="Calibri"/>
          <w:b/>
          <w:i/>
          <w:sz w:val="20"/>
          <w:szCs w:val="20"/>
          <w:lang w:val="es-ES_tradnl"/>
        </w:rPr>
        <w:t>“El porte y el consumo de sustancias estupefacientes o sicotrópicas está prohibido, salvo prescripción médica. Con fines preventivos y rehabilitadores la ley establecerá medidas y tratamientos administrativos de orden pedagógico, profiláctico o terapéutico para las personas que consuman dichas sustancias. El sometimiento a esas medidas y tratamientos requiere el consentimiento informado del adicto.</w:t>
      </w:r>
    </w:p>
    <w:p w:rsidR="007E2A01" w:rsidRPr="00517032" w:rsidRDefault="007E2A01" w:rsidP="007E2A01">
      <w:pPr>
        <w:ind w:left="851" w:right="900"/>
        <w:jc w:val="both"/>
        <w:rPr>
          <w:rFonts w:ascii="Bookman Old Style" w:eastAsia="Calibri" w:hAnsi="Bookman Old Style" w:cs="Calibri"/>
          <w:b/>
          <w:i/>
          <w:sz w:val="20"/>
          <w:szCs w:val="20"/>
          <w:lang w:val="es-ES_tradnl"/>
        </w:rPr>
      </w:pPr>
    </w:p>
    <w:p w:rsidR="007E2A01" w:rsidRPr="00517032" w:rsidRDefault="007E2A01" w:rsidP="007E2A01">
      <w:pPr>
        <w:ind w:left="851" w:right="900"/>
        <w:jc w:val="both"/>
        <w:rPr>
          <w:rFonts w:ascii="Bookman Old Style" w:eastAsia="Calibri" w:hAnsi="Bookman Old Style" w:cs="Calibri"/>
          <w:b/>
          <w:i/>
          <w:sz w:val="20"/>
          <w:szCs w:val="20"/>
          <w:lang w:val="es-ES_tradnl"/>
        </w:rPr>
      </w:pPr>
      <w:r w:rsidRPr="00517032">
        <w:rPr>
          <w:rFonts w:ascii="Bookman Old Style" w:eastAsia="Calibri" w:hAnsi="Bookman Old Style" w:cs="Calibri"/>
          <w:b/>
          <w:i/>
          <w:sz w:val="20"/>
          <w:szCs w:val="20"/>
          <w:lang w:val="es-ES_tradnl"/>
        </w:rPr>
        <w:t>Así mismo el Estado dedicará especial atención al enfermo dependiente o adicto y a su familia para fortalecerla en valores y principios que contribuyan a prevenir comportamientos que afecten el cuidado integral de la salud de las personas y, por consiguiente, de la comunidad, y desarrollará en forma permanente campañas de prevención contra el consumo de drogas o sustancias estupefacientes y en favor de la recuperación de los adictos.”</w:t>
      </w:r>
    </w:p>
    <w:p w:rsidR="007E2A01" w:rsidRPr="00BA2C74" w:rsidRDefault="007E2A01" w:rsidP="007E2A01">
      <w:pPr>
        <w:ind w:left="720" w:right="900"/>
        <w:jc w:val="both"/>
        <w:rPr>
          <w:rFonts w:ascii="Bookman Old Style" w:eastAsia="Calibri" w:hAnsi="Bookman Old Style" w:cs="Calibri"/>
          <w:i/>
          <w:lang w:val="es-ES_tradnl"/>
        </w:rPr>
      </w:pPr>
    </w:p>
    <w:p w:rsidR="007E2A01" w:rsidRPr="00BA2C74" w:rsidRDefault="007E2A01" w:rsidP="007E2A01">
      <w:pPr>
        <w:jc w:val="both"/>
        <w:rPr>
          <w:rFonts w:ascii="Bookman Old Style" w:eastAsia="Calibri" w:hAnsi="Bookman Old Style" w:cs="Calibri"/>
        </w:rPr>
      </w:pPr>
      <w:r w:rsidRPr="00BA2C74">
        <w:rPr>
          <w:rFonts w:ascii="Bookman Old Style" w:eastAsia="Calibri" w:hAnsi="Bookman Old Style" w:cs="Calibri"/>
        </w:rPr>
        <w:t>De lo anterior se desprende que hoy en día está consagrada una prohibición de orden constitucional frente al consumo de sustancias estupefacientes o psicotrópicas, salvo prescripción médica, en contraposición a una prohibición de orden legal donde se exceptúan los fines medicinales y científicos, como lo dispuso la Ley 1787 de 2016. Lo anterior, como parte de la protección y reconocimiento del derecho a la salud.</w:t>
      </w:r>
    </w:p>
    <w:p w:rsidR="007E2A01" w:rsidRPr="00485CC5" w:rsidRDefault="007E2A01" w:rsidP="007E2A01">
      <w:pPr>
        <w:jc w:val="both"/>
        <w:rPr>
          <w:rFonts w:ascii="Bookman Old Style" w:eastAsia="Calibri" w:hAnsi="Bookman Old Style" w:cs="Calibri"/>
          <w:szCs w:val="24"/>
        </w:rPr>
      </w:pPr>
    </w:p>
    <w:p w:rsidR="007E2A01" w:rsidRPr="00485CC5" w:rsidRDefault="007E2A01" w:rsidP="007E2A01">
      <w:pPr>
        <w:jc w:val="both"/>
        <w:rPr>
          <w:rFonts w:ascii="Bookman Old Style" w:eastAsia="Calibri" w:hAnsi="Bookman Old Style" w:cs="Calibri"/>
          <w:b/>
          <w:szCs w:val="24"/>
        </w:rPr>
      </w:pPr>
      <w:r>
        <w:rPr>
          <w:rFonts w:ascii="Bookman Old Style" w:eastAsia="Calibri" w:hAnsi="Bookman Old Style" w:cs="Calibri"/>
          <w:b/>
          <w:szCs w:val="24"/>
        </w:rPr>
        <w:t>7</w:t>
      </w:r>
      <w:r w:rsidRPr="00485CC5">
        <w:rPr>
          <w:rFonts w:ascii="Bookman Old Style" w:eastAsia="Calibri" w:hAnsi="Bookman Old Style" w:cs="Calibri"/>
          <w:b/>
          <w:szCs w:val="24"/>
        </w:rPr>
        <w:t>.</w:t>
      </w:r>
      <w:r>
        <w:rPr>
          <w:rFonts w:ascii="Bookman Old Style" w:eastAsia="Calibri" w:hAnsi="Bookman Old Style" w:cs="Calibri"/>
          <w:b/>
          <w:szCs w:val="24"/>
        </w:rPr>
        <w:t>2</w:t>
      </w:r>
      <w:r w:rsidRPr="00485CC5">
        <w:rPr>
          <w:rFonts w:ascii="Bookman Old Style" w:eastAsia="Calibri" w:hAnsi="Bookman Old Style" w:cs="Calibri"/>
          <w:b/>
          <w:szCs w:val="24"/>
        </w:rPr>
        <w:t xml:space="preserve">. ANÁLISIS CONSTITUCIONAL DE LA REGULACIÓN ACTUAL FRENTE AL PORTE Y CONSUMO DE </w:t>
      </w:r>
      <w:r w:rsidR="00C12FD9">
        <w:rPr>
          <w:rFonts w:ascii="Bookman Old Style" w:eastAsia="Calibri" w:hAnsi="Bookman Old Style" w:cs="Calibri"/>
          <w:b/>
          <w:szCs w:val="24"/>
        </w:rPr>
        <w:t>SUSTANCIAS PSICOACTIVAS</w:t>
      </w:r>
      <w:r w:rsidRPr="00485CC5">
        <w:rPr>
          <w:rFonts w:ascii="Bookman Old Style" w:eastAsia="Calibri" w:hAnsi="Bookman Old Style" w:cs="Calibri"/>
          <w:b/>
          <w:szCs w:val="24"/>
        </w:rPr>
        <w:t>.</w:t>
      </w:r>
    </w:p>
    <w:p w:rsidR="007E2A01" w:rsidRPr="00485CC5" w:rsidRDefault="007E2A01" w:rsidP="007E2A01">
      <w:pPr>
        <w:jc w:val="both"/>
        <w:rPr>
          <w:rFonts w:ascii="Bookman Old Style" w:eastAsia="Calibri" w:hAnsi="Bookman Old Style" w:cs="Calibri"/>
          <w:b/>
          <w:szCs w:val="24"/>
        </w:rPr>
      </w:pPr>
    </w:p>
    <w:p w:rsidR="007E2A01" w:rsidRPr="00485CC5" w:rsidRDefault="007E2A01" w:rsidP="007E2A01">
      <w:pPr>
        <w:jc w:val="both"/>
        <w:rPr>
          <w:rFonts w:ascii="Bookman Old Style" w:eastAsia="Calibri" w:hAnsi="Bookman Old Style" w:cs="Calibri"/>
          <w:szCs w:val="24"/>
          <w:lang w:val="es-ES_tradnl"/>
        </w:rPr>
      </w:pPr>
      <w:r w:rsidRPr="00485CC5">
        <w:rPr>
          <w:rFonts w:ascii="Bookman Old Style" w:eastAsia="Calibri" w:hAnsi="Bookman Old Style" w:cs="Calibri"/>
          <w:szCs w:val="24"/>
        </w:rPr>
        <w:t xml:space="preserve">Es menester analizar los efectos de la política actual frente al consumo y porte de </w:t>
      </w:r>
      <w:r w:rsidRPr="00485CC5">
        <w:rPr>
          <w:rFonts w:ascii="Bookman Old Style" w:eastAsia="Calibri" w:hAnsi="Bookman Old Style" w:cs="Calibri"/>
          <w:szCs w:val="24"/>
        </w:rPr>
        <w:lastRenderedPageBreak/>
        <w:t xml:space="preserve">estupefacientes. Preliminarmente, es pertinente hacer referencia a un pronunciamiento de la Corte Constitucional realizado en el 2002 </w:t>
      </w:r>
      <w:r w:rsidRPr="00485CC5">
        <w:rPr>
          <w:rFonts w:ascii="Bookman Old Style" w:eastAsia="Calibri" w:hAnsi="Bookman Old Style" w:cs="Calibri"/>
          <w:szCs w:val="24"/>
          <w:lang w:val="es-ES_tradnl"/>
        </w:rPr>
        <w:t>con ocasión de una demanda de inconstitucionalidad presentada contra todas las normas que tipificaban los delitos de tráfico de estupefacientes.</w:t>
      </w:r>
    </w:p>
    <w:p w:rsidR="007E2A01" w:rsidRPr="00485CC5" w:rsidRDefault="007E2A01" w:rsidP="007E2A01">
      <w:pPr>
        <w:jc w:val="both"/>
        <w:rPr>
          <w:rFonts w:ascii="Bookman Old Style" w:eastAsia="Calibri" w:hAnsi="Bookman Old Style" w:cs="Calibri"/>
          <w:szCs w:val="24"/>
          <w:lang w:val="es-ES_tradnl"/>
        </w:rPr>
      </w:pPr>
    </w:p>
    <w:p w:rsidR="007E2A01" w:rsidRPr="00485CC5" w:rsidRDefault="007E2A01" w:rsidP="007E2A01">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En esa oportunidad la Corte Constitucional entró a analizar si el criterio político-criminal del legislador, que le condujo a tipificar el tráfico de estupefacientes, es susceptible de control constitucional.</w:t>
      </w:r>
      <w:r>
        <w:rPr>
          <w:rFonts w:ascii="Bookman Old Style" w:eastAsia="Calibri" w:hAnsi="Bookman Old Style" w:cs="Calibri"/>
          <w:szCs w:val="24"/>
          <w:lang w:val="es-ES_tradnl"/>
        </w:rPr>
        <w:t xml:space="preserve"> </w:t>
      </w:r>
      <w:r w:rsidRPr="00485CC5">
        <w:rPr>
          <w:rFonts w:ascii="Bookman Old Style" w:eastAsia="Calibri" w:hAnsi="Bookman Old Style" w:cs="Calibri"/>
          <w:szCs w:val="24"/>
          <w:lang w:val="es-ES_tradnl"/>
        </w:rPr>
        <w:t xml:space="preserve">Sobre el particular, reconoció la Corte que </w:t>
      </w:r>
      <w:r w:rsidRPr="00485CC5">
        <w:rPr>
          <w:rFonts w:ascii="Bookman Old Style" w:eastAsia="Calibri" w:hAnsi="Bookman Old Style" w:cs="Calibri"/>
          <w:i/>
          <w:szCs w:val="24"/>
          <w:lang w:val="es-ES_tradnl"/>
        </w:rPr>
        <w:t>“(…) si bien es cierto que el parlamento no es, ni mucho menos, la única instancia del poder público en la que se pueden diseñar estrategias de política criminal, no puede desconocerse que su decisión de acudir a la penalización de comportamientos no sólo es legítima frente a la Carta por tratarse del ejercicio de una facultad de la que es titular sino también porque ella cuenta con el respaldo que le transmite el principio democrático”.</w:t>
      </w:r>
      <w:r w:rsidRPr="00485CC5">
        <w:rPr>
          <w:rStyle w:val="Refdenotaalpie"/>
          <w:rFonts w:ascii="Bookman Old Style" w:eastAsia="Calibri" w:hAnsi="Bookman Old Style" w:cs="Calibri"/>
          <w:i/>
          <w:szCs w:val="24"/>
          <w:lang w:val="es-ES_tradnl"/>
        </w:rPr>
        <w:footnoteReference w:id="63"/>
      </w:r>
    </w:p>
    <w:p w:rsidR="007E2A01" w:rsidRPr="00485CC5" w:rsidRDefault="007E2A01" w:rsidP="007E2A01">
      <w:pPr>
        <w:jc w:val="both"/>
        <w:rPr>
          <w:rFonts w:ascii="Bookman Old Style" w:eastAsia="Calibri" w:hAnsi="Bookman Old Style" w:cs="Calibri"/>
          <w:szCs w:val="24"/>
          <w:lang w:val="es-ES_tradnl"/>
        </w:rPr>
      </w:pPr>
    </w:p>
    <w:p w:rsidR="007E2A01" w:rsidRPr="00485CC5" w:rsidRDefault="007E2A01" w:rsidP="007E2A01">
      <w:pPr>
        <w:jc w:val="both"/>
        <w:rPr>
          <w:rFonts w:ascii="Bookman Old Style" w:eastAsia="Calibri" w:hAnsi="Bookman Old Style" w:cs="Calibri"/>
          <w:b/>
          <w:szCs w:val="24"/>
        </w:rPr>
      </w:pPr>
      <w:r w:rsidRPr="00485CC5">
        <w:rPr>
          <w:rFonts w:ascii="Bookman Old Style" w:eastAsia="Calibri" w:hAnsi="Bookman Old Style" w:cs="Calibri"/>
          <w:szCs w:val="24"/>
          <w:lang w:val="es-ES_tradnl"/>
        </w:rPr>
        <w:t>No obstante reconoció, como ya lo había hecho en oportunidades anteriores, que el margen de libertad legislativa se encuentra enmarcado por los valores superiores del ordenamiento jurídico, los principios constitucionales y los derechos fundamentales.</w:t>
      </w:r>
      <w:r w:rsidRPr="00485CC5">
        <w:rPr>
          <w:rStyle w:val="Refdenotaalpie"/>
          <w:rFonts w:ascii="Bookman Old Style" w:eastAsia="Calibri" w:hAnsi="Bookman Old Style" w:cs="Calibri"/>
          <w:szCs w:val="24"/>
          <w:lang w:val="es-ES_tradnl"/>
        </w:rPr>
        <w:footnoteReference w:id="64"/>
      </w:r>
      <w:r w:rsidRPr="00485CC5">
        <w:rPr>
          <w:rFonts w:ascii="Bookman Old Style" w:eastAsia="Calibri" w:hAnsi="Bookman Old Style" w:cs="Calibri"/>
          <w:szCs w:val="24"/>
          <w:lang w:val="es-ES_tradnl"/>
        </w:rPr>
        <w:t xml:space="preserve"> En esa medida concluyó, en lo respectivo al caso concreto que </w:t>
      </w:r>
      <w:r w:rsidRPr="00485CC5">
        <w:rPr>
          <w:rFonts w:ascii="Bookman Old Style" w:eastAsia="Calibri" w:hAnsi="Bookman Old Style" w:cs="Calibri"/>
          <w:i/>
          <w:szCs w:val="24"/>
          <w:lang w:val="es-ES_tradnl"/>
        </w:rPr>
        <w:t>“De allí que el cuestionamiento de la constitucionalidad de las normas que tipifican el tráfico de estupefacientes no deba hacerse genéricamente cuestionando una política criminal que se estima equivocada sino específicamente, esto es, considerando cada una de las reglas de derecho contenidas en esas disposiciones y confrontándolas con el Texto Superior para evidenciar su incompatibilidad”.</w:t>
      </w:r>
      <w:r w:rsidRPr="00485CC5">
        <w:rPr>
          <w:rFonts w:ascii="Bookman Old Style" w:eastAsia="Calibri" w:hAnsi="Bookman Old Style" w:cs="Calibri"/>
          <w:szCs w:val="24"/>
          <w:lang w:val="es-ES_tradnl"/>
        </w:rPr>
        <w:t xml:space="preserve"> </w:t>
      </w:r>
    </w:p>
    <w:p w:rsidR="007E2A01" w:rsidRPr="00485CC5" w:rsidRDefault="007E2A01" w:rsidP="007E2A01">
      <w:pPr>
        <w:jc w:val="both"/>
        <w:rPr>
          <w:rFonts w:ascii="Bookman Old Style" w:eastAsia="Calibri" w:hAnsi="Bookman Old Style" w:cs="Calibri"/>
          <w:szCs w:val="24"/>
        </w:rPr>
      </w:pPr>
    </w:p>
    <w:p w:rsidR="007E2A01" w:rsidRPr="00485CC5" w:rsidRDefault="007E2A01" w:rsidP="007E2A01">
      <w:pPr>
        <w:jc w:val="both"/>
        <w:rPr>
          <w:rFonts w:ascii="Bookman Old Style" w:eastAsia="Calibri" w:hAnsi="Bookman Old Style" w:cs="Calibri"/>
          <w:szCs w:val="24"/>
        </w:rPr>
      </w:pPr>
      <w:r w:rsidRPr="00485CC5">
        <w:rPr>
          <w:rFonts w:ascii="Bookman Old Style" w:eastAsia="Calibri" w:hAnsi="Bookman Old Style" w:cs="Calibri"/>
          <w:szCs w:val="24"/>
        </w:rPr>
        <w:t xml:space="preserve">En esa oportunidad la Corte se declaró inhibida por ineptitud de la demanda, no obstante, es claro que en esta materia era plenamente aplicable lo que ya había sido dispuesto en la sentencia C-221 de 1994, en la medida en que el legislador no podía tipificar como delito una conducta que repercutía exclusivamente en la esfera del individuo. En consecuencia, es posible diferenciar lo que compete a la política criminal, en tanto se trata de la tipificación de conductas que repercuten en el orden jurídico, que afectan bienes jurídicos y derechos de otros individuos de aquellas conductas que únicamente trascienden en el ámbito personal y que, en consecuencia, no deberían ser objeto de prohibición. </w:t>
      </w:r>
    </w:p>
    <w:p w:rsidR="007E2A01" w:rsidRPr="00485CC5" w:rsidRDefault="007E2A01" w:rsidP="007E2A01">
      <w:pPr>
        <w:jc w:val="both"/>
        <w:rPr>
          <w:rFonts w:ascii="Bookman Old Style" w:eastAsia="Calibri" w:hAnsi="Bookman Old Style" w:cs="Calibri"/>
          <w:szCs w:val="24"/>
        </w:rPr>
      </w:pPr>
    </w:p>
    <w:p w:rsidR="007E2A01" w:rsidRPr="00485CC5" w:rsidRDefault="007E2A01" w:rsidP="007E2A01">
      <w:pPr>
        <w:jc w:val="both"/>
        <w:rPr>
          <w:rFonts w:ascii="Bookman Old Style" w:eastAsia="Calibri" w:hAnsi="Bookman Old Style" w:cs="Calibri"/>
          <w:b/>
          <w:szCs w:val="24"/>
        </w:rPr>
      </w:pPr>
      <w:r>
        <w:rPr>
          <w:rFonts w:ascii="Bookman Old Style" w:eastAsia="Calibri" w:hAnsi="Bookman Old Style" w:cs="Calibri"/>
          <w:b/>
          <w:szCs w:val="24"/>
        </w:rPr>
        <w:t>7</w:t>
      </w:r>
      <w:r w:rsidRPr="00485CC5">
        <w:rPr>
          <w:rFonts w:ascii="Bookman Old Style" w:eastAsia="Calibri" w:hAnsi="Bookman Old Style" w:cs="Calibri"/>
          <w:b/>
          <w:szCs w:val="24"/>
        </w:rPr>
        <w:t>.</w:t>
      </w:r>
      <w:r w:rsidRPr="00C30DB4">
        <w:rPr>
          <w:rFonts w:ascii="Bookman Old Style" w:eastAsia="Calibri" w:hAnsi="Bookman Old Style" w:cs="Calibri"/>
          <w:b/>
          <w:szCs w:val="24"/>
        </w:rPr>
        <w:t>2.</w:t>
      </w:r>
      <w:r>
        <w:rPr>
          <w:rFonts w:ascii="Bookman Old Style" w:eastAsia="Calibri" w:hAnsi="Bookman Old Style" w:cs="Calibri"/>
          <w:b/>
          <w:szCs w:val="24"/>
        </w:rPr>
        <w:t>1</w:t>
      </w:r>
      <w:r w:rsidRPr="00485CC5">
        <w:rPr>
          <w:rFonts w:ascii="Bookman Old Style" w:eastAsia="Calibri" w:hAnsi="Bookman Old Style" w:cs="Calibri"/>
          <w:szCs w:val="24"/>
        </w:rPr>
        <w:t xml:space="preserve"> </w:t>
      </w:r>
      <w:r w:rsidRPr="00485CC5">
        <w:rPr>
          <w:rFonts w:ascii="Bookman Old Style" w:eastAsia="Calibri" w:hAnsi="Bookman Old Style" w:cs="Calibri"/>
          <w:b/>
          <w:szCs w:val="24"/>
        </w:rPr>
        <w:t xml:space="preserve">AFECTACIÓN DEL DERECHO A LA SALUD POR EL CONSUMO DE SUSTANCIAS </w:t>
      </w:r>
      <w:r w:rsidR="003D3E1D">
        <w:rPr>
          <w:rFonts w:ascii="Bookman Old Style" w:eastAsia="Calibri" w:hAnsi="Bookman Old Style" w:cs="Calibri"/>
          <w:b/>
          <w:szCs w:val="24"/>
        </w:rPr>
        <w:t>PSICOACTIVAS</w:t>
      </w:r>
      <w:r w:rsidRPr="00485CC5">
        <w:rPr>
          <w:rFonts w:ascii="Bookman Old Style" w:eastAsia="Calibri" w:hAnsi="Bookman Old Style" w:cs="Calibri"/>
          <w:b/>
          <w:szCs w:val="24"/>
        </w:rPr>
        <w:t xml:space="preserve">. </w:t>
      </w:r>
    </w:p>
    <w:p w:rsidR="007E2A01" w:rsidRPr="00485CC5" w:rsidRDefault="007E2A01" w:rsidP="007E2A01">
      <w:pPr>
        <w:jc w:val="both"/>
        <w:rPr>
          <w:rFonts w:ascii="Bookman Old Style" w:eastAsia="Calibri" w:hAnsi="Bookman Old Style" w:cs="Calibri"/>
          <w:szCs w:val="24"/>
          <w:lang w:val="es-ES_tradnl"/>
        </w:rPr>
      </w:pPr>
    </w:p>
    <w:p w:rsidR="007E2A01" w:rsidRDefault="007E2A01" w:rsidP="007E2A01">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Vale la pena preguntarse si el fundamento del Acto Legislativo 02 de 2009 es plenamente aplicable para todos los tipos de sustancias estupefacientes o psicotrópicas. A saber, si el consumo de cualquiera de este tipo de sustancias tiene la virtualidad de afectar la salud, entendida como derecho, principio y servicio público y si, en consecuencia, todas deben ser objeto de prohibición constitucional.</w:t>
      </w:r>
    </w:p>
    <w:p w:rsidR="007E2A01" w:rsidRDefault="007E2A01" w:rsidP="007E2A01">
      <w:pPr>
        <w:jc w:val="both"/>
        <w:rPr>
          <w:rFonts w:ascii="Bookman Old Style" w:eastAsia="Calibri" w:hAnsi="Bookman Old Style" w:cs="Calibri"/>
          <w:szCs w:val="24"/>
          <w:lang w:val="es-ES_tradnl"/>
        </w:rPr>
      </w:pPr>
    </w:p>
    <w:p w:rsidR="007E2A01" w:rsidRPr="007F6FA2" w:rsidRDefault="007E2A01" w:rsidP="007E2A01">
      <w:pPr>
        <w:jc w:val="both"/>
        <w:rPr>
          <w:rFonts w:ascii="Bookman Old Style" w:eastAsia="Calibri" w:hAnsi="Bookman Old Style" w:cs="Calibri"/>
          <w:lang w:val="es-ES_tradnl"/>
        </w:rPr>
      </w:pPr>
      <w:r w:rsidRPr="00B10001">
        <w:rPr>
          <w:rFonts w:ascii="Bookman Old Style" w:eastAsia="Calibri" w:hAnsi="Bookman Old Style" w:cs="Calibri"/>
          <w:lang w:val="es-ES_tradnl"/>
        </w:rPr>
        <w:t xml:space="preserve">En ese sentido, el cambio de enfoque en la política de drogas exige evaluar con detenimiento cuál es la variable crítica en este asunto. Por muchos años, la causa </w:t>
      </w:r>
      <w:r w:rsidRPr="00B10001">
        <w:rPr>
          <w:rFonts w:ascii="Bookman Old Style" w:eastAsia="Calibri" w:hAnsi="Bookman Old Style" w:cs="Calibri"/>
          <w:lang w:val="es-ES_tradnl"/>
        </w:rPr>
        <w:lastRenderedPageBreak/>
        <w:t xml:space="preserve">prohibicionista ha estado sustentada en gran parte en la creencia que el consumo no medicinal de cannabis es una gran amenaza contra la salud pública. Sin embargo, en este proceso hemos llegado a entender que definitivamente no </w:t>
      </w:r>
      <w:r>
        <w:rPr>
          <w:rFonts w:ascii="Bookman Old Style" w:eastAsia="Calibri" w:hAnsi="Bookman Old Style" w:cs="Calibri"/>
          <w:lang w:val="es-ES_tradnl"/>
        </w:rPr>
        <w:t>podrá haber un</w:t>
      </w:r>
      <w:r w:rsidRPr="00B10001">
        <w:rPr>
          <w:rFonts w:ascii="Bookman Old Style" w:eastAsia="Calibri" w:hAnsi="Bookman Old Style" w:cs="Calibri"/>
          <w:lang w:val="es-ES_tradnl"/>
        </w:rPr>
        <w:t xml:space="preserve"> cambio de paradigma si no se despejan las dudas que</w:t>
      </w:r>
      <w:r>
        <w:rPr>
          <w:rFonts w:ascii="Bookman Old Style" w:eastAsia="Calibri" w:hAnsi="Bookman Old Style" w:cs="Calibri"/>
          <w:lang w:val="es-ES_tradnl"/>
        </w:rPr>
        <w:t xml:space="preserve"> existen </w:t>
      </w:r>
      <w:r w:rsidRPr="00B10001">
        <w:rPr>
          <w:rFonts w:ascii="Bookman Old Style" w:eastAsia="Calibri" w:hAnsi="Bookman Old Style" w:cs="Calibri"/>
          <w:lang w:val="es-ES_tradnl"/>
        </w:rPr>
        <w:t>en materia de salud alrededor del consumo de cannabis de uso adulto.</w:t>
      </w:r>
    </w:p>
    <w:p w:rsidR="007E2A01" w:rsidRDefault="007E2A01" w:rsidP="007E2A01">
      <w:pPr>
        <w:jc w:val="both"/>
        <w:rPr>
          <w:rFonts w:ascii="Bookman Old Style" w:eastAsia="Calibri" w:hAnsi="Bookman Old Style" w:cs="Calibri"/>
          <w:szCs w:val="24"/>
          <w:lang w:val="es-ES_tradnl"/>
        </w:rPr>
      </w:pPr>
    </w:p>
    <w:p w:rsidR="007E2A01" w:rsidRDefault="007E2A01" w:rsidP="007E2A01">
      <w:pPr>
        <w:jc w:val="both"/>
        <w:rPr>
          <w:rFonts w:ascii="Bookman Old Style" w:eastAsia="Calibri" w:hAnsi="Bookman Old Style" w:cs="Calibri"/>
          <w:b/>
          <w:szCs w:val="24"/>
        </w:rPr>
      </w:pPr>
      <w:r>
        <w:rPr>
          <w:rFonts w:ascii="Bookman Old Style" w:eastAsia="Calibri" w:hAnsi="Bookman Old Style" w:cs="Calibri"/>
          <w:b/>
          <w:szCs w:val="24"/>
        </w:rPr>
        <w:t>7</w:t>
      </w:r>
      <w:r w:rsidRPr="00485CC5">
        <w:rPr>
          <w:rFonts w:ascii="Bookman Old Style" w:eastAsia="Calibri" w:hAnsi="Bookman Old Style" w:cs="Calibri"/>
          <w:b/>
          <w:szCs w:val="24"/>
        </w:rPr>
        <w:t>.</w:t>
      </w:r>
      <w:r w:rsidRPr="00C30DB4">
        <w:rPr>
          <w:rFonts w:ascii="Bookman Old Style" w:eastAsia="Calibri" w:hAnsi="Bookman Old Style" w:cs="Calibri"/>
          <w:b/>
          <w:szCs w:val="24"/>
        </w:rPr>
        <w:t>2.</w:t>
      </w:r>
      <w:r>
        <w:rPr>
          <w:rFonts w:ascii="Bookman Old Style" w:eastAsia="Calibri" w:hAnsi="Bookman Old Style" w:cs="Calibri"/>
          <w:b/>
          <w:szCs w:val="24"/>
        </w:rPr>
        <w:t>1.1</w:t>
      </w:r>
      <w:r w:rsidRPr="00485CC5">
        <w:rPr>
          <w:rFonts w:ascii="Bookman Old Style" w:eastAsia="Calibri" w:hAnsi="Bookman Old Style" w:cs="Calibri"/>
          <w:szCs w:val="24"/>
        </w:rPr>
        <w:t xml:space="preserve"> </w:t>
      </w:r>
      <w:r>
        <w:rPr>
          <w:rFonts w:ascii="Bookman Old Style" w:eastAsia="Calibri" w:hAnsi="Bookman Old Style" w:cs="Calibri"/>
          <w:b/>
          <w:szCs w:val="24"/>
        </w:rPr>
        <w:t>FRENTE AL DAÑO AL CONSUMIDOR</w:t>
      </w:r>
      <w:r w:rsidRPr="00485CC5">
        <w:rPr>
          <w:rFonts w:ascii="Bookman Old Style" w:eastAsia="Calibri" w:hAnsi="Bookman Old Style" w:cs="Calibri"/>
          <w:b/>
          <w:szCs w:val="24"/>
        </w:rPr>
        <w:t>.</w:t>
      </w:r>
    </w:p>
    <w:p w:rsidR="007E2A01" w:rsidRPr="00AC7FB2" w:rsidRDefault="007E2A01" w:rsidP="007E2A01">
      <w:pPr>
        <w:jc w:val="both"/>
        <w:rPr>
          <w:rFonts w:ascii="Bookman Old Style" w:eastAsia="Calibri" w:hAnsi="Bookman Old Style" w:cs="Calibri"/>
          <w:b/>
          <w:szCs w:val="24"/>
        </w:rPr>
      </w:pPr>
    </w:p>
    <w:p w:rsidR="007E2A01" w:rsidRDefault="007E2A01" w:rsidP="007E2A01">
      <w:pPr>
        <w:widowControl/>
        <w:shd w:val="clear" w:color="auto" w:fill="FFFFFF"/>
        <w:jc w:val="both"/>
        <w:rPr>
          <w:rFonts w:ascii="Bookman Old Style" w:hAnsi="Bookman Old Style"/>
          <w:szCs w:val="24"/>
          <w:lang w:val="es-ES_tradnl"/>
        </w:rPr>
      </w:pPr>
      <w:r w:rsidRPr="00485CC5">
        <w:rPr>
          <w:rFonts w:ascii="Bookman Old Style" w:eastAsia="Calibri" w:hAnsi="Bookman Old Style" w:cs="Calibri"/>
          <w:szCs w:val="24"/>
          <w:lang w:val="es-ES_tradnl"/>
        </w:rPr>
        <w:t xml:space="preserve">Sobre este particular, vale la pena traer a colación </w:t>
      </w:r>
      <w:hyperlink r:id="rId14" w:tgtFrame="_blank" w:history="1">
        <w:r w:rsidRPr="00485CC5">
          <w:rPr>
            <w:rFonts w:ascii="Bookman Old Style" w:hAnsi="Bookman Old Style"/>
            <w:szCs w:val="24"/>
            <w:lang w:val="es-ES_tradnl"/>
          </w:rPr>
          <w:t>el artículo “Drug harms in the UK: a multicriteria decision analysis”</w:t>
        </w:r>
        <w:r w:rsidRPr="00485CC5">
          <w:rPr>
            <w:rStyle w:val="Refdenotaalpie"/>
            <w:rFonts w:ascii="Bookman Old Style" w:hAnsi="Bookman Old Style"/>
            <w:szCs w:val="24"/>
            <w:lang w:val="es-ES_tradnl"/>
          </w:rPr>
          <w:footnoteReference w:id="65"/>
        </w:r>
        <w:r w:rsidRPr="00485CC5">
          <w:rPr>
            <w:rFonts w:ascii="Bookman Old Style" w:hAnsi="Bookman Old Style"/>
            <w:szCs w:val="24"/>
            <w:lang w:val="es-ES_tradnl"/>
          </w:rPr>
          <w:t xml:space="preserve"> publicado en 2010 en el diario médico The Lancet</w:t>
        </w:r>
      </w:hyperlink>
      <w:r w:rsidRPr="00485CC5">
        <w:rPr>
          <w:rFonts w:ascii="Bookman Old Style" w:hAnsi="Bookman Old Style"/>
          <w:szCs w:val="24"/>
          <w:lang w:val="es-ES_tradnl"/>
        </w:rPr>
        <w:t xml:space="preserve">, que evaluó los impactos que las drogas —tanto legales como ilegales— tenían en las personas que las consumían, considerando además el contexto en el cual estas vivían. Entre las conclusiones a las que llega la investigación, se tiene que la sustancia que más daño causa, tanto al individuo como a la sociedad, es el alcohol, con una valoración de 72/100; el tabaco por su parte es el sexto en la lista y sólo es un poco menos nocivo que la cocaína. </w:t>
      </w:r>
    </w:p>
    <w:p w:rsidR="007E2A01" w:rsidRPr="00485CC5" w:rsidRDefault="007E2A01" w:rsidP="007E2A01">
      <w:pPr>
        <w:widowControl/>
        <w:shd w:val="clear" w:color="auto" w:fill="FFFFFF"/>
        <w:jc w:val="both"/>
        <w:rPr>
          <w:rFonts w:ascii="Bookman Old Style" w:hAnsi="Bookman Old Style"/>
          <w:szCs w:val="24"/>
          <w:lang w:val="es-ES_tradnl"/>
        </w:rPr>
      </w:pPr>
    </w:p>
    <w:p w:rsidR="007E2A01" w:rsidRDefault="007E2A01" w:rsidP="007E2A01">
      <w:pPr>
        <w:widowControl/>
        <w:shd w:val="clear" w:color="auto" w:fill="FFFFFF"/>
        <w:jc w:val="center"/>
        <w:rPr>
          <w:rFonts w:ascii="Bookman Old Style" w:hAnsi="Bookman Old Style"/>
          <w:b/>
          <w:szCs w:val="24"/>
          <w:lang w:val="es-ES_tradnl"/>
        </w:rPr>
      </w:pPr>
      <w:r w:rsidRPr="00485CC5">
        <w:rPr>
          <w:rFonts w:ascii="Bookman Old Style" w:hAnsi="Bookman Old Style"/>
          <w:b/>
          <w:szCs w:val="24"/>
          <w:lang w:val="es-ES_tradnl"/>
        </w:rPr>
        <w:t xml:space="preserve">Gráfica 1. </w:t>
      </w:r>
    </w:p>
    <w:p w:rsidR="007E2A01" w:rsidRPr="00485CC5" w:rsidRDefault="007E2A01" w:rsidP="007E2A01">
      <w:pPr>
        <w:widowControl/>
        <w:shd w:val="clear" w:color="auto" w:fill="FFFFFF"/>
        <w:jc w:val="center"/>
        <w:rPr>
          <w:rFonts w:ascii="Bookman Old Style" w:hAnsi="Bookman Old Style"/>
          <w:b/>
          <w:szCs w:val="24"/>
          <w:lang w:val="es-ES_tradnl"/>
        </w:rPr>
      </w:pPr>
      <w:r w:rsidRPr="00485CC5">
        <w:rPr>
          <w:rFonts w:ascii="Bookman Old Style" w:hAnsi="Bookman Old Style"/>
          <w:b/>
          <w:szCs w:val="24"/>
          <w:lang w:val="es-ES_tradnl"/>
        </w:rPr>
        <w:t>Drogas por su nivel de daño, mostrando las contribuciones por tipo (daño al consumidor y daño hacia otros) al puntaje total.</w:t>
      </w:r>
    </w:p>
    <w:p w:rsidR="007E2A01" w:rsidRPr="00485CC5" w:rsidRDefault="007E2A01" w:rsidP="007E2A01">
      <w:pPr>
        <w:widowControl/>
        <w:shd w:val="clear" w:color="auto" w:fill="FFFFFF"/>
        <w:jc w:val="center"/>
        <w:rPr>
          <w:rFonts w:ascii="Bookman Old Style" w:hAnsi="Bookman Old Style"/>
          <w:szCs w:val="24"/>
          <w:lang w:val="es-ES_tradnl"/>
        </w:rPr>
      </w:pPr>
      <w:r w:rsidRPr="00485CC5">
        <w:rPr>
          <w:rFonts w:ascii="Bookman Old Style" w:hAnsi="Bookman Old Style"/>
          <w:noProof/>
          <w:szCs w:val="24"/>
        </w:rPr>
        <w:drawing>
          <wp:inline distT="0" distB="0" distL="0" distR="0" wp14:anchorId="23D6EF1B" wp14:editId="079FB3B5">
            <wp:extent cx="5816599" cy="3562350"/>
            <wp:effectExtent l="0" t="0" r="0" b="0"/>
            <wp:docPr id="1" name="Imagen 1" descr="C:\Users\Dlz-Moony\Documents\Cuadro Daño Cannabi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lz-Moony\Documents\Cuadro Daño Cannabis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96596" cy="3795078"/>
                    </a:xfrm>
                    <a:prstGeom prst="rect">
                      <a:avLst/>
                    </a:prstGeom>
                    <a:noFill/>
                    <a:ln>
                      <a:noFill/>
                    </a:ln>
                  </pic:spPr>
                </pic:pic>
              </a:graphicData>
            </a:graphic>
          </wp:inline>
        </w:drawing>
      </w:r>
    </w:p>
    <w:p w:rsidR="007E2A01" w:rsidRPr="00485CC5" w:rsidRDefault="007E2A01" w:rsidP="007E2A01">
      <w:pPr>
        <w:widowControl/>
        <w:shd w:val="clear" w:color="auto" w:fill="FFFFFF"/>
        <w:rPr>
          <w:rFonts w:ascii="Bookman Old Style" w:hAnsi="Bookman Old Style"/>
          <w:i/>
          <w:sz w:val="20"/>
          <w:szCs w:val="24"/>
        </w:rPr>
      </w:pPr>
      <w:r w:rsidRPr="00485CC5">
        <w:rPr>
          <w:rFonts w:ascii="Bookman Old Style" w:hAnsi="Bookman Old Style"/>
          <w:i/>
          <w:sz w:val="20"/>
          <w:szCs w:val="24"/>
          <w:lang w:val="en-US"/>
        </w:rPr>
        <w:t xml:space="preserve">Fuente: Drug harms in the UK: a multicriteria decision analysis. </w:t>
      </w:r>
      <w:r w:rsidRPr="00485CC5">
        <w:rPr>
          <w:rFonts w:ascii="Bookman Old Style" w:hAnsi="Bookman Old Style"/>
          <w:i/>
          <w:sz w:val="20"/>
          <w:szCs w:val="24"/>
        </w:rPr>
        <w:t>2010.</w:t>
      </w:r>
    </w:p>
    <w:p w:rsidR="007E2A01" w:rsidRPr="00485CC5" w:rsidRDefault="007E2A01" w:rsidP="007E2A01">
      <w:pPr>
        <w:widowControl/>
        <w:shd w:val="clear" w:color="auto" w:fill="FFFFFF"/>
        <w:rPr>
          <w:rFonts w:ascii="Bookman Old Style" w:hAnsi="Bookman Old Style"/>
          <w:i/>
          <w:sz w:val="20"/>
          <w:szCs w:val="24"/>
        </w:rPr>
      </w:pPr>
    </w:p>
    <w:p w:rsidR="007E2A01" w:rsidRPr="00485CC5" w:rsidRDefault="007E2A01" w:rsidP="007E2A01">
      <w:pPr>
        <w:widowControl/>
        <w:shd w:val="clear" w:color="auto" w:fill="FFFFFF"/>
        <w:jc w:val="both"/>
        <w:rPr>
          <w:rFonts w:ascii="Bookman Old Style" w:hAnsi="Bookman Old Style"/>
          <w:szCs w:val="24"/>
          <w:lang w:val="es-ES_tradnl"/>
        </w:rPr>
      </w:pPr>
      <w:r w:rsidRPr="00485CC5">
        <w:rPr>
          <w:rFonts w:ascii="Bookman Old Style" w:hAnsi="Bookman Old Style"/>
          <w:szCs w:val="24"/>
          <w:lang w:val="es-ES_tradnl"/>
        </w:rPr>
        <w:t>Ahora bien, el mismo artículo citado con anterioridad, realizó un análisis sobre las drogas que causan daño al consumidor y las drogas que causan daño a otros. A continuación, se presenta el resultado.</w:t>
      </w:r>
    </w:p>
    <w:p w:rsidR="007E2A01" w:rsidRPr="00485CC5" w:rsidRDefault="007E2A01" w:rsidP="007E2A01">
      <w:pPr>
        <w:widowControl/>
        <w:shd w:val="clear" w:color="auto" w:fill="FFFFFF"/>
        <w:rPr>
          <w:rFonts w:ascii="Bookman Old Style" w:hAnsi="Bookman Old Style"/>
          <w:i/>
          <w:sz w:val="20"/>
          <w:szCs w:val="24"/>
        </w:rPr>
      </w:pPr>
    </w:p>
    <w:p w:rsidR="007E2A01" w:rsidRDefault="007E2A01" w:rsidP="007E2A01">
      <w:pPr>
        <w:widowControl/>
        <w:shd w:val="clear" w:color="auto" w:fill="FFFFFF"/>
        <w:jc w:val="center"/>
        <w:rPr>
          <w:rFonts w:ascii="Bookman Old Style" w:hAnsi="Bookman Old Style"/>
          <w:b/>
          <w:szCs w:val="24"/>
          <w:lang w:val="es-ES_tradnl"/>
        </w:rPr>
      </w:pPr>
      <w:r w:rsidRPr="00485CC5">
        <w:rPr>
          <w:rFonts w:ascii="Bookman Old Style" w:hAnsi="Bookman Old Style"/>
          <w:b/>
          <w:szCs w:val="24"/>
        </w:rPr>
        <w:t>Gráfica 2.</w:t>
      </w:r>
      <w:r w:rsidRPr="00485CC5">
        <w:rPr>
          <w:rFonts w:ascii="Bookman Old Style" w:hAnsi="Bookman Old Style"/>
          <w:b/>
          <w:szCs w:val="24"/>
          <w:lang w:val="es-ES_tradnl"/>
        </w:rPr>
        <w:t xml:space="preserve"> </w:t>
      </w:r>
    </w:p>
    <w:p w:rsidR="007E2A01" w:rsidRPr="00485CC5" w:rsidRDefault="007E2A01" w:rsidP="007E2A01">
      <w:pPr>
        <w:widowControl/>
        <w:shd w:val="clear" w:color="auto" w:fill="FFFFFF"/>
        <w:jc w:val="center"/>
        <w:rPr>
          <w:rFonts w:ascii="Bookman Old Style" w:hAnsi="Bookman Old Style"/>
          <w:b/>
          <w:szCs w:val="24"/>
        </w:rPr>
      </w:pPr>
      <w:r w:rsidRPr="00485CC5">
        <w:rPr>
          <w:rFonts w:ascii="Bookman Old Style" w:hAnsi="Bookman Old Style"/>
          <w:b/>
          <w:szCs w:val="24"/>
          <w:lang w:val="es-ES_tradnl"/>
        </w:rPr>
        <w:t>Drogas mostradas por su daño al consumidor y daño hacia otros.</w:t>
      </w:r>
    </w:p>
    <w:p w:rsidR="007E2A01" w:rsidRPr="00485CC5" w:rsidRDefault="007E2A01" w:rsidP="007E2A01">
      <w:pPr>
        <w:widowControl/>
        <w:shd w:val="clear" w:color="auto" w:fill="FFFFFF"/>
        <w:jc w:val="both"/>
        <w:rPr>
          <w:rFonts w:ascii="Bookman Old Style" w:hAnsi="Bookman Old Style"/>
          <w:szCs w:val="24"/>
          <w:lang w:val="en-US"/>
        </w:rPr>
      </w:pPr>
      <w:r w:rsidRPr="00485CC5">
        <w:rPr>
          <w:rFonts w:ascii="Bookman Old Style" w:hAnsi="Bookman Old Style"/>
          <w:noProof/>
          <w:szCs w:val="24"/>
        </w:rPr>
        <w:drawing>
          <wp:inline distT="0" distB="0" distL="0" distR="0" wp14:anchorId="14BDE985" wp14:editId="54B440B9">
            <wp:extent cx="5612130" cy="2990850"/>
            <wp:effectExtent l="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stretch>
                      <a:fillRect/>
                    </a:stretch>
                  </pic:blipFill>
                  <pic:spPr>
                    <a:xfrm>
                      <a:off x="0" y="0"/>
                      <a:ext cx="5612130" cy="2990850"/>
                    </a:xfrm>
                    <a:prstGeom prst="rect">
                      <a:avLst/>
                    </a:prstGeom>
                  </pic:spPr>
                </pic:pic>
              </a:graphicData>
            </a:graphic>
          </wp:inline>
        </w:drawing>
      </w:r>
    </w:p>
    <w:p w:rsidR="007E2A01" w:rsidRPr="00485CC5" w:rsidRDefault="007E2A01" w:rsidP="007E2A01">
      <w:pPr>
        <w:widowControl/>
        <w:shd w:val="clear" w:color="auto" w:fill="FFFFFF"/>
        <w:jc w:val="both"/>
        <w:rPr>
          <w:rFonts w:ascii="Bookman Old Style" w:hAnsi="Bookman Old Style"/>
          <w:i/>
          <w:sz w:val="20"/>
          <w:szCs w:val="24"/>
        </w:rPr>
      </w:pPr>
      <w:r w:rsidRPr="00485CC5">
        <w:rPr>
          <w:rFonts w:ascii="Bookman Old Style" w:hAnsi="Bookman Old Style"/>
          <w:i/>
          <w:sz w:val="20"/>
          <w:szCs w:val="24"/>
          <w:lang w:val="en-US"/>
        </w:rPr>
        <w:t xml:space="preserve">Fuente: Drug harms in the UK: a multicriteria decision analysis. </w:t>
      </w:r>
      <w:r w:rsidRPr="00485CC5">
        <w:rPr>
          <w:rFonts w:ascii="Bookman Old Style" w:hAnsi="Bookman Old Style"/>
          <w:i/>
          <w:sz w:val="20"/>
          <w:szCs w:val="24"/>
        </w:rPr>
        <w:t>2010.</w:t>
      </w:r>
    </w:p>
    <w:p w:rsidR="007E2A01" w:rsidRPr="00485CC5" w:rsidRDefault="007E2A01" w:rsidP="007E2A01">
      <w:pPr>
        <w:jc w:val="both"/>
        <w:rPr>
          <w:rFonts w:ascii="Bookman Old Style" w:eastAsia="Calibri" w:hAnsi="Bookman Old Style" w:cs="Calibri"/>
          <w:szCs w:val="24"/>
          <w:lang w:val="es-ES_tradnl"/>
        </w:rPr>
      </w:pPr>
    </w:p>
    <w:p w:rsidR="007E2A01" w:rsidRPr="00485CC5" w:rsidRDefault="007E2A01" w:rsidP="007E2A01">
      <w:pPr>
        <w:widowControl/>
        <w:shd w:val="clear" w:color="auto" w:fill="FFFFFF"/>
        <w:jc w:val="both"/>
        <w:rPr>
          <w:rFonts w:ascii="Bookman Old Style" w:hAnsi="Bookman Old Style"/>
          <w:szCs w:val="24"/>
          <w:lang w:val="es-ES_tradnl"/>
        </w:rPr>
      </w:pPr>
      <w:r w:rsidRPr="00485CC5">
        <w:rPr>
          <w:rFonts w:ascii="Bookman Old Style" w:hAnsi="Bookman Old Style"/>
          <w:szCs w:val="24"/>
          <w:lang w:val="es-ES_tradnl"/>
        </w:rPr>
        <w:t xml:space="preserve">Como se observa, son pocas las drogas que realmente tienen afectación frente a </w:t>
      </w:r>
      <w:r>
        <w:rPr>
          <w:rFonts w:ascii="Bookman Old Style" w:hAnsi="Bookman Old Style"/>
          <w:szCs w:val="24"/>
          <w:lang w:val="es-ES_tradnl"/>
        </w:rPr>
        <w:t>terceros</w:t>
      </w:r>
      <w:r w:rsidRPr="00485CC5">
        <w:rPr>
          <w:rFonts w:ascii="Bookman Old Style" w:hAnsi="Bookman Old Style"/>
          <w:szCs w:val="24"/>
          <w:lang w:val="es-ES_tradnl"/>
        </w:rPr>
        <w:t xml:space="preserve"> y aún más pocas las que causan un efecto grave</w:t>
      </w:r>
      <w:r>
        <w:rPr>
          <w:rFonts w:ascii="Bookman Old Style" w:hAnsi="Bookman Old Style"/>
          <w:szCs w:val="24"/>
          <w:lang w:val="es-ES_tradnl"/>
        </w:rPr>
        <w:t xml:space="preserve"> al consumidor</w:t>
      </w:r>
      <w:r w:rsidRPr="00485CC5">
        <w:rPr>
          <w:rFonts w:ascii="Bookman Old Style" w:hAnsi="Bookman Old Style"/>
          <w:szCs w:val="24"/>
          <w:lang w:val="es-ES_tradnl"/>
        </w:rPr>
        <w:t xml:space="preserve">, alcanzando el nivel más alto de afectación el consumo de alcohol, práctica que es plenamente legal en nuestro país. </w:t>
      </w:r>
    </w:p>
    <w:p w:rsidR="007E2A01" w:rsidRPr="00485CC5" w:rsidRDefault="007E2A01" w:rsidP="007E2A01">
      <w:pPr>
        <w:widowControl/>
        <w:shd w:val="clear" w:color="auto" w:fill="FFFFFF"/>
        <w:jc w:val="both"/>
        <w:rPr>
          <w:rFonts w:ascii="Bookman Old Style" w:hAnsi="Bookman Old Style"/>
          <w:szCs w:val="24"/>
          <w:lang w:val="es-ES_tradnl"/>
        </w:rPr>
      </w:pPr>
    </w:p>
    <w:p w:rsidR="007E2A01" w:rsidRPr="00B10001" w:rsidRDefault="007E2A01" w:rsidP="007E2A01">
      <w:pPr>
        <w:shd w:val="clear" w:color="auto" w:fill="FFFFFF"/>
        <w:jc w:val="both"/>
        <w:rPr>
          <w:rFonts w:ascii="Bookman Old Style" w:hAnsi="Bookman Old Style"/>
          <w:lang w:val="es-ES_tradnl"/>
        </w:rPr>
      </w:pPr>
      <w:r w:rsidRPr="00B10001">
        <w:rPr>
          <w:rFonts w:ascii="Bookman Old Style" w:hAnsi="Bookman Old Style"/>
          <w:lang w:val="es-ES_tradnl"/>
        </w:rPr>
        <w:t>Por otra parte, según la OMS el uso nocivo de alcohol es un factor causal de 200 enfermedades y trastornos</w:t>
      </w:r>
      <w:r w:rsidRPr="00B10001">
        <w:rPr>
          <w:rStyle w:val="Refdenotaalpie"/>
          <w:rFonts w:ascii="Bookman Old Style" w:hAnsi="Bookman Old Style"/>
          <w:lang w:val="es-ES_tradnl"/>
        </w:rPr>
        <w:footnoteReference w:id="66"/>
      </w:r>
      <w:r w:rsidRPr="00B10001">
        <w:rPr>
          <w:rFonts w:ascii="Bookman Old Style" w:hAnsi="Bookman Old Style"/>
          <w:lang w:val="es-ES_tradnl"/>
        </w:rPr>
        <w:t>, además, existe evidencia de que la mitad de los consumidores de tabaco pueden morir por esta causa, siendo el 15% de esas muertes fumadores de humo ajeno o pasivos</w:t>
      </w:r>
      <w:r w:rsidRPr="00B10001">
        <w:rPr>
          <w:rStyle w:val="Refdenotaalpie"/>
          <w:rFonts w:ascii="Bookman Old Style" w:hAnsi="Bookman Old Style"/>
          <w:lang w:val="es-ES_tradnl"/>
        </w:rPr>
        <w:footnoteReference w:id="67"/>
      </w:r>
      <w:r w:rsidRPr="00B10001">
        <w:rPr>
          <w:rFonts w:ascii="Bookman Old Style" w:hAnsi="Bookman Old Style"/>
          <w:lang w:val="es-ES_tradnl"/>
        </w:rPr>
        <w:t xml:space="preserve">. </w:t>
      </w:r>
    </w:p>
    <w:p w:rsidR="007E2A01" w:rsidRPr="00B10001" w:rsidRDefault="007E2A01" w:rsidP="007E2A01">
      <w:pPr>
        <w:shd w:val="clear" w:color="auto" w:fill="FFFFFF"/>
        <w:jc w:val="both"/>
        <w:rPr>
          <w:rFonts w:ascii="Bookman Old Style" w:hAnsi="Bookman Old Style"/>
          <w:lang w:val="es-ES_tradnl"/>
        </w:rPr>
      </w:pPr>
    </w:p>
    <w:p w:rsidR="007E2A01" w:rsidRDefault="007E2A01" w:rsidP="007E2A01">
      <w:pPr>
        <w:widowControl/>
        <w:shd w:val="clear" w:color="auto" w:fill="FFFFFF"/>
        <w:jc w:val="both"/>
        <w:rPr>
          <w:rFonts w:ascii="Bookman Old Style" w:hAnsi="Bookman Old Style"/>
          <w:lang w:val="es-ES_tradnl"/>
        </w:rPr>
      </w:pPr>
      <w:r w:rsidRPr="00B10001">
        <w:rPr>
          <w:rFonts w:ascii="Bookman Old Style" w:hAnsi="Bookman Old Style"/>
          <w:lang w:val="es-ES_tradnl"/>
        </w:rPr>
        <w:t>De lo anterior, se desprende la conclusión de que</w:t>
      </w:r>
      <w:r>
        <w:rPr>
          <w:rFonts w:ascii="Bookman Old Style" w:hAnsi="Bookman Old Style"/>
          <w:lang w:val="es-ES_tradnl"/>
        </w:rPr>
        <w:t>,</w:t>
      </w:r>
      <w:r w:rsidRPr="00B10001">
        <w:rPr>
          <w:rFonts w:ascii="Bookman Old Style" w:hAnsi="Bookman Old Style"/>
          <w:lang w:val="es-ES_tradnl"/>
        </w:rPr>
        <w:t xml:space="preserve"> en la actualidad</w:t>
      </w:r>
      <w:r>
        <w:rPr>
          <w:rFonts w:ascii="Bookman Old Style" w:hAnsi="Bookman Old Style"/>
          <w:lang w:val="es-ES_tradnl"/>
        </w:rPr>
        <w:t>,</w:t>
      </w:r>
      <w:r w:rsidRPr="00B10001">
        <w:rPr>
          <w:rFonts w:ascii="Bookman Old Style" w:hAnsi="Bookman Old Style"/>
          <w:lang w:val="es-ES_tradnl"/>
        </w:rPr>
        <w:t xml:space="preserve"> existen sustancias incluso más perjudiciales para la salud, cuyo consumo se encuentra permitido y que no han sido objeto de ningún intento de restricción vía legal o constitucional. </w:t>
      </w:r>
      <w:r>
        <w:rPr>
          <w:rFonts w:ascii="Bookman Old Style" w:hAnsi="Bookman Old Style"/>
          <w:lang w:val="es-ES_tradnl"/>
        </w:rPr>
        <w:t>En cambio,</w:t>
      </w:r>
      <w:r w:rsidRPr="00B10001">
        <w:rPr>
          <w:rFonts w:ascii="Bookman Old Style" w:hAnsi="Bookman Old Style"/>
          <w:lang w:val="es-ES_tradnl"/>
        </w:rPr>
        <w:t xml:space="preserve"> su producción y consumo a gran escala permiten el recaudo de impuestos destinados a financiar programas sociales, el sistema de salud, entre otros</w:t>
      </w:r>
    </w:p>
    <w:p w:rsidR="007E2A01" w:rsidRDefault="007E2A01" w:rsidP="007E2A01">
      <w:pPr>
        <w:widowControl/>
        <w:shd w:val="clear" w:color="auto" w:fill="FFFFFF"/>
        <w:jc w:val="both"/>
        <w:rPr>
          <w:rFonts w:ascii="Bookman Old Style" w:hAnsi="Bookman Old Style"/>
          <w:lang w:val="es-ES_tradnl"/>
        </w:rPr>
      </w:pPr>
    </w:p>
    <w:p w:rsidR="007E2A01" w:rsidRPr="00987C6B" w:rsidRDefault="007E2A01" w:rsidP="007E2A01">
      <w:pPr>
        <w:pBdr>
          <w:top w:val="nil"/>
          <w:left w:val="nil"/>
          <w:bottom w:val="nil"/>
          <w:right w:val="nil"/>
          <w:between w:val="nil"/>
        </w:pBdr>
        <w:ind w:right="115"/>
        <w:jc w:val="both"/>
        <w:rPr>
          <w:rFonts w:ascii="Bookman Old Style" w:eastAsia="Calibri" w:hAnsi="Bookman Old Style" w:cs="Calibri"/>
          <w:b/>
          <w:szCs w:val="24"/>
        </w:rPr>
      </w:pPr>
      <w:r>
        <w:rPr>
          <w:rFonts w:ascii="Bookman Old Style" w:eastAsia="Calibri" w:hAnsi="Bookman Old Style" w:cs="Calibri"/>
          <w:b/>
          <w:szCs w:val="24"/>
        </w:rPr>
        <w:t>7</w:t>
      </w:r>
      <w:r w:rsidRPr="00987C6B">
        <w:rPr>
          <w:rFonts w:ascii="Bookman Old Style" w:eastAsia="Calibri" w:hAnsi="Bookman Old Style" w:cs="Calibri"/>
          <w:b/>
          <w:szCs w:val="24"/>
        </w:rPr>
        <w:t>.2.1.2 FRENTE A LA PROBABILIDAD DE DESARROLLAR TRASTORNOS ASOCIADOS AL CONSUMO.</w:t>
      </w:r>
    </w:p>
    <w:p w:rsidR="007E2A01" w:rsidRDefault="007E2A01" w:rsidP="007E2A01">
      <w:pPr>
        <w:pBdr>
          <w:top w:val="nil"/>
          <w:left w:val="nil"/>
          <w:bottom w:val="nil"/>
          <w:right w:val="nil"/>
          <w:between w:val="nil"/>
        </w:pBdr>
        <w:ind w:right="115"/>
        <w:jc w:val="both"/>
        <w:rPr>
          <w:rFonts w:ascii="Bookman Old Style" w:eastAsia="Calibri" w:hAnsi="Bookman Old Style" w:cs="Calibri"/>
          <w:b/>
          <w:szCs w:val="24"/>
        </w:rPr>
      </w:pPr>
    </w:p>
    <w:p w:rsidR="007E2A01" w:rsidRPr="00B10001" w:rsidRDefault="007E2A01" w:rsidP="007E2A01">
      <w:pPr>
        <w:shd w:val="clear" w:color="auto" w:fill="FFFFFF"/>
        <w:jc w:val="both"/>
        <w:rPr>
          <w:rFonts w:ascii="Bookman Old Style" w:hAnsi="Bookman Old Style"/>
          <w:lang w:val="es-ES_tradnl"/>
        </w:rPr>
      </w:pPr>
      <w:r w:rsidRPr="00B10001">
        <w:rPr>
          <w:rFonts w:ascii="Bookman Old Style" w:hAnsi="Bookman Old Style"/>
          <w:lang w:val="es-ES_tradnl"/>
        </w:rPr>
        <w:t xml:space="preserve">Respecto a la posibilidad de desarrollar trastornos asociados al consumo por cannabis, vale traer a consideración el estudio publicado en por Catalina López, </w:t>
      </w:r>
      <w:r w:rsidRPr="00B10001">
        <w:rPr>
          <w:rFonts w:ascii="Bookman Old Style" w:hAnsi="Bookman Old Style"/>
          <w:lang w:val="es-ES_tradnl"/>
        </w:rPr>
        <w:lastRenderedPageBreak/>
        <w:t>José Pérez y otros en el año 2011, en el que se menciona que la probabilidad acumulada de transición a desarrollar este tipo de trastornos por consumo de cannabis es de 8,9%; del 67,5% para los consumidores de nicotina; 22,7% para los consumidores de alcohol; y el 20,9% para los consumidores de cocaína.</w:t>
      </w:r>
      <w:r w:rsidRPr="00B10001">
        <w:rPr>
          <w:rStyle w:val="Refdenotaalpie"/>
          <w:rFonts w:ascii="Bookman Old Style" w:hAnsi="Bookman Old Style"/>
          <w:lang w:val="es-ES_tradnl"/>
        </w:rPr>
        <w:footnoteReference w:id="68"/>
      </w:r>
      <w:r w:rsidRPr="00B10001">
        <w:rPr>
          <w:rFonts w:ascii="Bookman Old Style" w:hAnsi="Bookman Old Style"/>
          <w:lang w:val="es-ES_tradnl"/>
        </w:rPr>
        <w:t xml:space="preserve"> Es decir, una de cada 10 personas podrían desarrollar lo que se conoce como consumo problemático. </w:t>
      </w:r>
    </w:p>
    <w:p w:rsidR="007E2A01" w:rsidRPr="00B10001" w:rsidRDefault="007E2A01" w:rsidP="007E2A01">
      <w:pPr>
        <w:shd w:val="clear" w:color="auto" w:fill="FFFFFF"/>
        <w:jc w:val="both"/>
        <w:rPr>
          <w:rFonts w:ascii="Bookman Old Style" w:hAnsi="Bookman Old Style"/>
          <w:lang w:val="es-ES_tradnl"/>
        </w:rPr>
      </w:pPr>
    </w:p>
    <w:p w:rsidR="007E2A01" w:rsidRPr="00B10001" w:rsidRDefault="007E2A01" w:rsidP="007E2A01">
      <w:pPr>
        <w:jc w:val="both"/>
        <w:rPr>
          <w:rFonts w:ascii="Bookman Old Style" w:hAnsi="Bookman Old Style"/>
          <w:lang w:val="es-ES_tradnl"/>
        </w:rPr>
      </w:pPr>
      <w:r w:rsidRPr="00B10001">
        <w:rPr>
          <w:rFonts w:ascii="Bookman Old Style" w:hAnsi="Bookman Old Style"/>
          <w:lang w:val="es-ES_tradnl"/>
        </w:rPr>
        <w:t>Un estudio más reciente del año 2019, realizado por los investigadores Christina Marel, Matthew Sunderland y otros, indica que las estimaciones de probabilidad acumulada de desarrollar trastornos por consumo de sustancias son: el 50,4% en consumidores de estimulantes, 46,6% de opioides, 39% de sedante, 37,5% de alcohol y 34,1% de los consumidores de cannabis.</w:t>
      </w:r>
      <w:r w:rsidRPr="00B10001">
        <w:rPr>
          <w:rStyle w:val="Refdenotaalpie"/>
          <w:rFonts w:ascii="Bookman Old Style" w:hAnsi="Bookman Old Style"/>
          <w:lang w:val="es-ES_tradnl"/>
        </w:rPr>
        <w:footnoteReference w:id="69"/>
      </w:r>
      <w:r w:rsidRPr="00B10001">
        <w:rPr>
          <w:rFonts w:ascii="Bookman Old Style" w:hAnsi="Bookman Old Style"/>
          <w:lang w:val="es-ES_tradnl"/>
        </w:rPr>
        <w:t xml:space="preserve"> Es decir, bajo este estudio 3 de cada 10 consumidores de consumidores de cannabis podrían desarrollar trastornos asociados al consumo. Una vez más, en términos de consumo problemático el cannabis sigue estando por debajo de sustancias legales como el alcohol y el tabaco.</w:t>
      </w:r>
    </w:p>
    <w:p w:rsidR="007E2A01" w:rsidRPr="00B10001" w:rsidRDefault="007E2A01" w:rsidP="007E2A01">
      <w:pPr>
        <w:jc w:val="both"/>
        <w:rPr>
          <w:rFonts w:ascii="Bookman Old Style" w:hAnsi="Bookman Old Style"/>
          <w:lang w:val="es-ES_tradnl"/>
        </w:rPr>
      </w:pPr>
    </w:p>
    <w:p w:rsidR="007E2A01" w:rsidRPr="00AF4882" w:rsidRDefault="007E2A01" w:rsidP="007E2A01">
      <w:pPr>
        <w:shd w:val="clear" w:color="auto" w:fill="FFFFFF"/>
        <w:jc w:val="both"/>
        <w:rPr>
          <w:rFonts w:ascii="Bookman Old Style" w:hAnsi="Bookman Old Style"/>
          <w:lang w:val="es-ES_tradnl"/>
        </w:rPr>
      </w:pPr>
      <w:r w:rsidRPr="00B10001">
        <w:rPr>
          <w:rFonts w:ascii="Bookman Old Style" w:hAnsi="Bookman Old Style"/>
          <w:lang w:val="es-ES_tradnl"/>
        </w:rPr>
        <w:t>Adicional a lo anterior, de acuerdo con la publicación del National Institute on Drug Abuse (NIH) acerca del cannabis, no hay reportes de muertes por sobre dosis de consumo de esta sustancia.</w:t>
      </w:r>
      <w:r w:rsidRPr="00B10001">
        <w:rPr>
          <w:rStyle w:val="Refdenotaalpie"/>
          <w:rFonts w:ascii="Bookman Old Style" w:hAnsi="Bookman Old Style"/>
          <w:lang w:val="es-ES_tradnl"/>
        </w:rPr>
        <w:footnoteReference w:id="70"/>
      </w:r>
      <w:r w:rsidRPr="00B10001">
        <w:rPr>
          <w:rFonts w:ascii="Bookman Old Style" w:hAnsi="Bookman Old Style"/>
          <w:lang w:val="es-ES_tradnl"/>
        </w:rPr>
        <w:t xml:space="preserve"> En el mismo sentido se han pronunciado diversos expertos en la materia.</w:t>
      </w:r>
      <w:r w:rsidRPr="00B10001">
        <w:rPr>
          <w:rStyle w:val="Refdenotaalpie"/>
          <w:rFonts w:ascii="Bookman Old Style" w:hAnsi="Bookman Old Style"/>
          <w:lang w:val="es-ES_tradnl"/>
        </w:rPr>
        <w:footnoteReference w:id="71"/>
      </w:r>
    </w:p>
    <w:p w:rsidR="007E2A01" w:rsidRDefault="007E2A01" w:rsidP="007E2A01">
      <w:pPr>
        <w:pBdr>
          <w:top w:val="nil"/>
          <w:left w:val="nil"/>
          <w:bottom w:val="nil"/>
          <w:right w:val="nil"/>
          <w:between w:val="nil"/>
        </w:pBdr>
        <w:ind w:right="115"/>
        <w:jc w:val="both"/>
        <w:rPr>
          <w:rFonts w:ascii="Bookman Old Style" w:eastAsia="Calibri" w:hAnsi="Bookman Old Style" w:cs="Calibri"/>
          <w:b/>
          <w:szCs w:val="24"/>
        </w:rPr>
      </w:pPr>
    </w:p>
    <w:p w:rsidR="007E2A01" w:rsidRPr="00987C6B" w:rsidRDefault="007E2A01" w:rsidP="007E2A01">
      <w:pPr>
        <w:pBdr>
          <w:top w:val="nil"/>
          <w:left w:val="nil"/>
          <w:bottom w:val="nil"/>
          <w:right w:val="nil"/>
          <w:between w:val="nil"/>
        </w:pBdr>
        <w:ind w:right="115"/>
        <w:jc w:val="both"/>
        <w:rPr>
          <w:rFonts w:ascii="Bookman Old Style" w:eastAsia="Calibri" w:hAnsi="Bookman Old Style" w:cs="Calibri"/>
          <w:b/>
          <w:szCs w:val="24"/>
        </w:rPr>
      </w:pPr>
      <w:r>
        <w:rPr>
          <w:rFonts w:ascii="Bookman Old Style" w:eastAsia="Calibri" w:hAnsi="Bookman Old Style" w:cs="Calibri"/>
          <w:b/>
          <w:szCs w:val="24"/>
        </w:rPr>
        <w:t>7</w:t>
      </w:r>
      <w:r w:rsidRPr="00987C6B">
        <w:rPr>
          <w:rFonts w:ascii="Bookman Old Style" w:eastAsia="Calibri" w:hAnsi="Bookman Old Style" w:cs="Calibri"/>
          <w:b/>
          <w:szCs w:val="24"/>
        </w:rPr>
        <w:t>.2.1.3 FRENTE AL AUMENTO DEL CONSUMO POR REGULACIÓN.</w:t>
      </w:r>
    </w:p>
    <w:p w:rsidR="007E2A01" w:rsidRDefault="007E2A01" w:rsidP="007E2A01">
      <w:pPr>
        <w:widowControl/>
        <w:shd w:val="clear" w:color="auto" w:fill="FFFFFF"/>
        <w:jc w:val="both"/>
        <w:rPr>
          <w:rFonts w:ascii="Bookman Old Style" w:eastAsia="Calibri" w:hAnsi="Bookman Old Style" w:cs="Calibri"/>
          <w:b/>
          <w:szCs w:val="24"/>
        </w:rPr>
      </w:pPr>
    </w:p>
    <w:p w:rsidR="007E2A01" w:rsidRPr="00B10001" w:rsidRDefault="007E2A01" w:rsidP="007E2A01">
      <w:pPr>
        <w:shd w:val="clear" w:color="auto" w:fill="FFFFFF"/>
        <w:jc w:val="both"/>
        <w:rPr>
          <w:rFonts w:ascii="Bookman Old Style" w:hAnsi="Bookman Old Style"/>
          <w:lang w:val="es-ES_tradnl"/>
        </w:rPr>
      </w:pPr>
      <w:r w:rsidRPr="00B10001">
        <w:rPr>
          <w:rFonts w:ascii="Bookman Old Style" w:hAnsi="Bookman Old Style"/>
          <w:lang w:val="es-ES_tradnl"/>
        </w:rPr>
        <w:t>El aumento del consumo problemático de cualquier sustancia es un problema de salud pública, más aún, si se trata de sustancias ilegales, de las cuales no se tiene conocimiento de su origen, proceso de producción y los efectos sobre la salud por malas prácticas.</w:t>
      </w:r>
    </w:p>
    <w:p w:rsidR="007E2A01" w:rsidRPr="00B10001" w:rsidRDefault="007E2A01" w:rsidP="007E2A01">
      <w:pPr>
        <w:shd w:val="clear" w:color="auto" w:fill="FFFFFF"/>
        <w:jc w:val="both"/>
        <w:rPr>
          <w:rFonts w:ascii="Bookman Old Style" w:hAnsi="Bookman Old Style"/>
          <w:lang w:val="es-ES_tradnl"/>
        </w:rPr>
      </w:pPr>
    </w:p>
    <w:p w:rsidR="007E2A01" w:rsidRPr="00B10001" w:rsidRDefault="007E2A01" w:rsidP="007E2A01">
      <w:pPr>
        <w:shd w:val="clear" w:color="auto" w:fill="FFFFFF"/>
        <w:jc w:val="both"/>
        <w:rPr>
          <w:rFonts w:ascii="Bookman Old Style" w:hAnsi="Bookman Old Style"/>
          <w:lang w:val="es-ES_tradnl"/>
        </w:rPr>
      </w:pPr>
      <w:r>
        <w:rPr>
          <w:rFonts w:ascii="Bookman Old Style" w:hAnsi="Bookman Old Style"/>
          <w:lang w:val="es-ES_tradnl"/>
        </w:rPr>
        <w:t>Justamente uno de los temores que más se ha difundido frente a la regularización del cannabis es la posibilidad de aumento en</w:t>
      </w:r>
      <w:r w:rsidRPr="00B10001">
        <w:rPr>
          <w:rFonts w:ascii="Bookman Old Style" w:hAnsi="Bookman Old Style"/>
          <w:lang w:val="es-ES_tradnl"/>
        </w:rPr>
        <w:t xml:space="preserve"> el consumo, en especial en menores de edad. Sin embargo, la evidencia de mercados ya regulados indica que la </w:t>
      </w:r>
      <w:r>
        <w:rPr>
          <w:rFonts w:ascii="Bookman Old Style" w:hAnsi="Bookman Old Style"/>
          <w:lang w:val="es-ES_tradnl"/>
        </w:rPr>
        <w:t xml:space="preserve">legalización </w:t>
      </w:r>
      <w:r w:rsidRPr="00B10001">
        <w:rPr>
          <w:rFonts w:ascii="Bookman Old Style" w:hAnsi="Bookman Old Style"/>
          <w:lang w:val="es-ES_tradnl"/>
        </w:rPr>
        <w:t>de los mercados puede incidir en la reducción del consumo, e inclusive, mejorar la percepción del riesgo asociado al consumo y desincentivar prácticas riesgosas para los consumidores.</w:t>
      </w:r>
      <w:r w:rsidRPr="00B10001">
        <w:rPr>
          <w:rStyle w:val="Refdenotaalpie"/>
          <w:rFonts w:ascii="Bookman Old Style" w:hAnsi="Bookman Old Style"/>
          <w:lang w:val="es-ES_tradnl"/>
        </w:rPr>
        <w:footnoteReference w:id="72"/>
      </w:r>
    </w:p>
    <w:p w:rsidR="007E2A01" w:rsidRPr="00B10001" w:rsidRDefault="007E2A01" w:rsidP="007E2A01">
      <w:pPr>
        <w:shd w:val="clear" w:color="auto" w:fill="FFFFFF"/>
        <w:jc w:val="both"/>
        <w:rPr>
          <w:rFonts w:ascii="Bookman Old Style" w:hAnsi="Bookman Old Style"/>
          <w:lang w:val="es-ES_tradnl"/>
        </w:rPr>
      </w:pPr>
    </w:p>
    <w:p w:rsidR="007E2A01" w:rsidRPr="00B10001" w:rsidRDefault="007E2A01" w:rsidP="007E2A01">
      <w:pPr>
        <w:shd w:val="clear" w:color="auto" w:fill="FFFFFF"/>
        <w:jc w:val="both"/>
        <w:rPr>
          <w:rFonts w:ascii="Bookman Old Style" w:hAnsi="Bookman Old Style"/>
          <w:lang w:val="es-ES_tradnl"/>
        </w:rPr>
      </w:pPr>
      <w:r w:rsidRPr="00B10001">
        <w:rPr>
          <w:rFonts w:ascii="Bookman Old Style" w:hAnsi="Bookman Old Style"/>
          <w:lang w:val="es-ES_tradnl"/>
        </w:rPr>
        <w:t xml:space="preserve">De igual manera, frente al consumo de menores la evidencia internacional respalda la afirmación de que el mercado regulado no permitió el aumento en el consumo de menores de edad, </w:t>
      </w:r>
      <w:r>
        <w:rPr>
          <w:rFonts w:ascii="Bookman Old Style" w:hAnsi="Bookman Old Style"/>
          <w:lang w:val="es-ES_tradnl"/>
        </w:rPr>
        <w:t xml:space="preserve">sino </w:t>
      </w:r>
      <w:r w:rsidRPr="00B10001">
        <w:rPr>
          <w:rFonts w:ascii="Bookman Old Style" w:hAnsi="Bookman Old Style"/>
          <w:lang w:val="es-ES_tradnl"/>
        </w:rPr>
        <w:t>todo lo contrario</w:t>
      </w:r>
      <w:r>
        <w:rPr>
          <w:rFonts w:ascii="Bookman Old Style" w:hAnsi="Bookman Old Style"/>
          <w:lang w:val="es-ES_tradnl"/>
        </w:rPr>
        <w:t>: e</w:t>
      </w:r>
      <w:r w:rsidRPr="00B10001">
        <w:rPr>
          <w:rFonts w:ascii="Bookman Old Style" w:hAnsi="Bookman Old Style"/>
          <w:lang w:val="es-ES_tradnl"/>
        </w:rPr>
        <w:t>n Estados Unidos</w:t>
      </w:r>
      <w:r>
        <w:rPr>
          <w:rFonts w:ascii="Bookman Old Style" w:hAnsi="Bookman Old Style"/>
          <w:lang w:val="es-ES_tradnl"/>
        </w:rPr>
        <w:t>, por ejemplo,</w:t>
      </w:r>
      <w:r w:rsidRPr="00B10001">
        <w:rPr>
          <w:rFonts w:ascii="Bookman Old Style" w:hAnsi="Bookman Old Style"/>
          <w:lang w:val="es-ES_tradnl"/>
        </w:rPr>
        <w:t xml:space="preserve"> se redujo hasta en un 9% el consumo en menores desde la legalización</w:t>
      </w:r>
      <w:r w:rsidRPr="00B10001">
        <w:rPr>
          <w:rStyle w:val="Refdenotaalpie"/>
          <w:rFonts w:ascii="Bookman Old Style" w:hAnsi="Bookman Old Style"/>
          <w:lang w:val="es-ES_tradnl"/>
        </w:rPr>
        <w:footnoteReference w:id="73"/>
      </w:r>
      <w:r w:rsidRPr="00B10001">
        <w:rPr>
          <w:rFonts w:ascii="Bookman Old Style" w:hAnsi="Bookman Old Style"/>
          <w:lang w:val="es-ES_tradnl"/>
        </w:rPr>
        <w:t xml:space="preserve">. De igual </w:t>
      </w:r>
      <w:r w:rsidRPr="00B10001">
        <w:rPr>
          <w:rFonts w:ascii="Bookman Old Style" w:hAnsi="Bookman Old Style"/>
          <w:lang w:val="es-ES_tradnl"/>
        </w:rPr>
        <w:lastRenderedPageBreak/>
        <w:t>manera, en Uruguay</w:t>
      </w:r>
      <w:r w:rsidRPr="00B10001">
        <w:rPr>
          <w:rStyle w:val="Refdenotaalpie"/>
          <w:rFonts w:ascii="Bookman Old Style" w:hAnsi="Bookman Old Style"/>
          <w:lang w:val="es-ES_tradnl"/>
        </w:rPr>
        <w:footnoteReference w:id="74"/>
      </w:r>
      <w:r w:rsidRPr="00B10001">
        <w:rPr>
          <w:rFonts w:ascii="Bookman Old Style" w:hAnsi="Bookman Old Style"/>
          <w:lang w:val="es-ES_tradnl"/>
        </w:rPr>
        <w:t xml:space="preserve"> y en Canadá tampoco se aumentó el consumo en adolescentes.</w:t>
      </w:r>
      <w:r w:rsidRPr="00B10001">
        <w:rPr>
          <w:rStyle w:val="Refdenotaalpie"/>
          <w:rFonts w:ascii="Bookman Old Style" w:hAnsi="Bookman Old Style"/>
          <w:lang w:val="es-ES_tradnl"/>
        </w:rPr>
        <w:footnoteReference w:id="75"/>
      </w:r>
    </w:p>
    <w:p w:rsidR="007E2A01" w:rsidRPr="00B10001" w:rsidRDefault="007E2A01" w:rsidP="007E2A01">
      <w:pPr>
        <w:shd w:val="clear" w:color="auto" w:fill="FFFFFF"/>
        <w:jc w:val="both"/>
        <w:rPr>
          <w:rFonts w:ascii="Bookman Old Style" w:hAnsi="Bookman Old Style"/>
          <w:lang w:val="es-ES_tradnl"/>
        </w:rPr>
      </w:pPr>
    </w:p>
    <w:p w:rsidR="007E2A01" w:rsidRPr="00B10001" w:rsidRDefault="007E2A01" w:rsidP="007E2A01">
      <w:pPr>
        <w:shd w:val="clear" w:color="auto" w:fill="FFFFFF"/>
        <w:jc w:val="both"/>
        <w:rPr>
          <w:rFonts w:ascii="Bookman Old Style" w:hAnsi="Bookman Old Style"/>
          <w:i/>
          <w:iCs/>
          <w:lang w:val="es-ES_tradnl"/>
        </w:rPr>
      </w:pPr>
      <w:r w:rsidRPr="00B10001">
        <w:rPr>
          <w:rFonts w:ascii="Bookman Old Style" w:hAnsi="Bookman Old Style"/>
          <w:lang w:val="es-ES_tradnl"/>
        </w:rPr>
        <w:t xml:space="preserve">En consonancia con lo anterior, el estudio realizado en Estados Unidos determinó que: </w:t>
      </w:r>
      <w:r w:rsidRPr="00B10001">
        <w:rPr>
          <w:rFonts w:ascii="Bookman Old Style" w:hAnsi="Bookman Old Style"/>
          <w:i/>
          <w:iCs/>
          <w:lang w:val="es-ES_tradnl"/>
        </w:rPr>
        <w:t>“después de la legalización en 2012 de la venta de marihuana a adultos en Washington, el consumo de marihuana durante los últimos 30 días disminuyó o se mantuvo estable hasta 2016 entre los estudiantes del condado de King en los grados 6, 8, 10 y 12. Entre los estudiantes del grado 10, se produjo una disminución entre los hombres, mientras que la tasa entre las mujeres se mantuvo estable”.</w:t>
      </w:r>
      <w:r w:rsidRPr="00B10001">
        <w:rPr>
          <w:i/>
          <w:iCs/>
          <w:vertAlign w:val="superscript"/>
        </w:rPr>
        <w:footnoteReference w:id="76"/>
      </w:r>
    </w:p>
    <w:p w:rsidR="007E2A01" w:rsidRPr="00B10001" w:rsidRDefault="007E2A01" w:rsidP="007E2A01">
      <w:pPr>
        <w:shd w:val="clear" w:color="auto" w:fill="FFFFFF"/>
        <w:jc w:val="both"/>
        <w:rPr>
          <w:rFonts w:ascii="Bookman Old Style" w:hAnsi="Bookman Old Style"/>
          <w:i/>
          <w:iCs/>
          <w:lang w:val="es-ES_tradnl"/>
        </w:rPr>
      </w:pPr>
    </w:p>
    <w:p w:rsidR="007E2A01" w:rsidRPr="00B10001" w:rsidRDefault="007E2A01" w:rsidP="007E2A01">
      <w:pPr>
        <w:shd w:val="clear" w:color="auto" w:fill="FFFFFF"/>
        <w:jc w:val="both"/>
        <w:rPr>
          <w:rFonts w:ascii="Bookman Old Style" w:hAnsi="Bookman Old Style"/>
          <w:lang w:val="es-ES_tradnl"/>
        </w:rPr>
      </w:pPr>
      <w:r w:rsidRPr="00B10001">
        <w:rPr>
          <w:rFonts w:ascii="Bookman Old Style" w:hAnsi="Bookman Old Style"/>
          <w:lang w:val="es-ES_tradnl"/>
        </w:rPr>
        <w:t xml:space="preserve">Estos resultados tienen explicación en las bondades de la regulación que, frente a la salud pública, resulta más eficiente que el prohibicionismo.  El mercado controlado permite determinar cómo, quién, dónde y qué se consume, permitiendo alejar a los menores de edad y población en riesgo de cualquier tipo de consumo. </w:t>
      </w:r>
    </w:p>
    <w:p w:rsidR="007E2A01" w:rsidRPr="00B10001" w:rsidRDefault="007E2A01" w:rsidP="007E2A01">
      <w:pPr>
        <w:shd w:val="clear" w:color="auto" w:fill="FFFFFF"/>
        <w:jc w:val="both"/>
        <w:rPr>
          <w:rFonts w:ascii="Bookman Old Style" w:hAnsi="Bookman Old Style"/>
          <w:lang w:val="es-ES_tradnl"/>
        </w:rPr>
      </w:pPr>
    </w:p>
    <w:p w:rsidR="007E2A01" w:rsidRDefault="007E2A01" w:rsidP="007E2A01">
      <w:pPr>
        <w:shd w:val="clear" w:color="auto" w:fill="FFFFFF"/>
        <w:jc w:val="both"/>
        <w:rPr>
          <w:rFonts w:ascii="Bookman Old Style" w:hAnsi="Bookman Old Style"/>
          <w:lang w:val="es-ES_tradnl"/>
        </w:rPr>
      </w:pPr>
      <w:r w:rsidRPr="00B10001">
        <w:rPr>
          <w:rFonts w:ascii="Bookman Old Style" w:hAnsi="Bookman Old Style"/>
          <w:lang w:val="es-ES_tradnl"/>
        </w:rPr>
        <w:t>Los que abogamos por un cambio en la política de drogas y los que buscan mantener las cosas como están, tenemos al menos varios puntos en común, este es uno de ellos. Todos queremos proteger a los niños, niñas y adolescentes y a la población vulnerable</w:t>
      </w:r>
      <w:r>
        <w:rPr>
          <w:rFonts w:ascii="Bookman Old Style" w:hAnsi="Bookman Old Style"/>
          <w:lang w:val="es-ES_tradnl"/>
        </w:rPr>
        <w:t xml:space="preserve">. Habiendo </w:t>
      </w:r>
      <w:r w:rsidRPr="00B10001">
        <w:rPr>
          <w:rFonts w:ascii="Bookman Old Style" w:hAnsi="Bookman Old Style"/>
          <w:lang w:val="es-ES_tradnl"/>
        </w:rPr>
        <w:t xml:space="preserve">acuerdo sobre eso, </w:t>
      </w:r>
      <w:r>
        <w:rPr>
          <w:rFonts w:ascii="Bookman Old Style" w:hAnsi="Bookman Old Style"/>
          <w:lang w:val="es-ES_tradnl"/>
        </w:rPr>
        <w:t>es necesario avanzar</w:t>
      </w:r>
      <w:r w:rsidRPr="00B10001">
        <w:rPr>
          <w:rFonts w:ascii="Bookman Old Style" w:hAnsi="Bookman Old Style"/>
          <w:lang w:val="es-ES_tradnl"/>
        </w:rPr>
        <w:t xml:space="preserve"> en la discusión </w:t>
      </w:r>
      <w:r>
        <w:rPr>
          <w:rFonts w:ascii="Bookman Old Style" w:hAnsi="Bookman Old Style"/>
          <w:lang w:val="es-ES_tradnl"/>
        </w:rPr>
        <w:t>acerca de</w:t>
      </w:r>
      <w:r w:rsidRPr="00B10001">
        <w:rPr>
          <w:rFonts w:ascii="Bookman Old Style" w:hAnsi="Bookman Old Style"/>
          <w:lang w:val="es-ES_tradnl"/>
        </w:rPr>
        <w:t xml:space="preserve"> cuál es la mejor forma de hacerlo. </w:t>
      </w:r>
    </w:p>
    <w:p w:rsidR="007E2A01" w:rsidRDefault="007E2A01" w:rsidP="007E2A01">
      <w:pPr>
        <w:shd w:val="clear" w:color="auto" w:fill="FFFFFF"/>
        <w:jc w:val="both"/>
        <w:rPr>
          <w:rFonts w:ascii="Bookman Old Style" w:hAnsi="Bookman Old Style"/>
          <w:lang w:val="es-ES_tradnl"/>
        </w:rPr>
      </w:pPr>
    </w:p>
    <w:p w:rsidR="007E2A01" w:rsidRPr="00AF4882" w:rsidRDefault="007E2A01" w:rsidP="007E2A01">
      <w:pPr>
        <w:shd w:val="clear" w:color="auto" w:fill="FFFFFF"/>
        <w:jc w:val="both"/>
        <w:rPr>
          <w:rFonts w:ascii="Bookman Old Style" w:hAnsi="Bookman Old Style"/>
          <w:lang w:val="es-ES_tradnl"/>
        </w:rPr>
      </w:pPr>
      <w:r>
        <w:rPr>
          <w:rFonts w:ascii="Bookman Old Style" w:hAnsi="Bookman Old Style"/>
          <w:lang w:val="es-ES_tradnl"/>
        </w:rPr>
        <w:t>Finalmente, sobre este tema es importante resaltar que este proyecto de acto legislativo únicamente pretende legalizar el cannabis para uso adulto. Además, que se reconoce la posibilidad de limitar el consumo en espacios públicos, escolares y, en general, espacios que puedan generar afectaciones a los niños.</w:t>
      </w:r>
    </w:p>
    <w:p w:rsidR="007E2A01" w:rsidRDefault="007E2A01" w:rsidP="007E2A01">
      <w:pPr>
        <w:widowControl/>
        <w:shd w:val="clear" w:color="auto" w:fill="FFFFFF"/>
        <w:jc w:val="both"/>
        <w:rPr>
          <w:rFonts w:ascii="Bookman Old Style" w:eastAsia="Calibri" w:hAnsi="Bookman Old Style" w:cs="Calibri"/>
          <w:b/>
          <w:szCs w:val="24"/>
        </w:rPr>
      </w:pPr>
    </w:p>
    <w:p w:rsidR="007E2A01" w:rsidRPr="00987C6B" w:rsidRDefault="007E2A01" w:rsidP="007E2A01">
      <w:pPr>
        <w:widowControl/>
        <w:shd w:val="clear" w:color="auto" w:fill="FFFFFF"/>
        <w:jc w:val="both"/>
        <w:rPr>
          <w:rFonts w:ascii="Bookman Old Style" w:hAnsi="Bookman Old Style"/>
          <w:b/>
          <w:lang w:val="es-ES_tradnl"/>
        </w:rPr>
      </w:pPr>
      <w:r>
        <w:rPr>
          <w:rFonts w:ascii="Bookman Old Style" w:eastAsia="Calibri" w:hAnsi="Bookman Old Style" w:cs="Calibri"/>
          <w:b/>
          <w:szCs w:val="24"/>
        </w:rPr>
        <w:t>7</w:t>
      </w:r>
      <w:r w:rsidRPr="00987C6B">
        <w:rPr>
          <w:rFonts w:ascii="Bookman Old Style" w:eastAsia="Calibri" w:hAnsi="Bookman Old Style" w:cs="Calibri"/>
          <w:b/>
          <w:szCs w:val="24"/>
        </w:rPr>
        <w:t>.2.1.4 FRENTE AL AUMENTO DE VIOLENCIA POR CONSUMO DE CANNABIS.</w:t>
      </w:r>
    </w:p>
    <w:p w:rsidR="007E2A01" w:rsidRDefault="007E2A01" w:rsidP="007E2A01">
      <w:pPr>
        <w:widowControl/>
        <w:shd w:val="clear" w:color="auto" w:fill="FFFFFF"/>
        <w:jc w:val="both"/>
        <w:rPr>
          <w:rFonts w:ascii="Bookman Old Style" w:hAnsi="Bookman Old Style"/>
          <w:lang w:val="es-ES_tradnl"/>
        </w:rPr>
      </w:pPr>
    </w:p>
    <w:p w:rsidR="007E2A01" w:rsidRPr="00B10001" w:rsidRDefault="007E2A01" w:rsidP="007E2A01">
      <w:pPr>
        <w:shd w:val="clear" w:color="auto" w:fill="FFFFFF"/>
        <w:jc w:val="both"/>
        <w:rPr>
          <w:rFonts w:ascii="Bookman Old Style" w:hAnsi="Bookman Old Style" w:cs="Arial"/>
          <w:color w:val="000000"/>
          <w:lang w:val="es-ES_tradnl"/>
        </w:rPr>
      </w:pPr>
      <w:r w:rsidRPr="00B10001">
        <w:rPr>
          <w:rFonts w:ascii="Bookman Old Style" w:hAnsi="Bookman Old Style"/>
          <w:lang w:val="es-ES_tradnl"/>
        </w:rPr>
        <w:t>Sobre el</w:t>
      </w:r>
      <w:r>
        <w:rPr>
          <w:rFonts w:ascii="Bookman Old Style" w:hAnsi="Bookman Old Style"/>
          <w:lang w:val="es-ES_tradnl"/>
        </w:rPr>
        <w:t xml:space="preserve"> posible aumento de violencia por el consumo de cannabis</w:t>
      </w:r>
      <w:r w:rsidRPr="00B10001">
        <w:rPr>
          <w:rFonts w:ascii="Bookman Old Style" w:hAnsi="Bookman Old Style"/>
          <w:lang w:val="es-ES_tradnl"/>
        </w:rPr>
        <w:t xml:space="preserve">, no existe evidencia concluyente que asocie el consumo de cannabis con el aumento de comportamientos violentos. Inclusive existen estudios que sugieren que el cannabis disminuye la agresividad, entre ellos los traídos a colación por la FIP menciona lo siguiente: </w:t>
      </w:r>
      <w:r w:rsidRPr="00B10001">
        <w:rPr>
          <w:rFonts w:ascii="Bookman Old Style" w:hAnsi="Bookman Old Style" w:cs="Arial"/>
          <w:color w:val="000000"/>
          <w:lang w:val="es-ES_tradnl"/>
        </w:rPr>
        <w:t>“</w:t>
      </w:r>
      <w:r w:rsidRPr="00B10001">
        <w:rPr>
          <w:rFonts w:ascii="Bookman Old Style" w:hAnsi="Bookman Old Style" w:cs="Arial"/>
          <w:i/>
          <w:iCs/>
          <w:color w:val="000000"/>
          <w:lang w:val="es-ES_tradnl"/>
        </w:rPr>
        <w:t>Los estudios sobre la conexión entre violencia y el consumo de marihuana y de alcohol indican que la marihuana parece disminuir la agresividad. Existe evidencia de la tendencia al comportamiento violento asociada al abuso de alcohol o de drogas duras como la cocaína y la heroína. El consumo de marihuana, en otras palabras, no parece conducir a más violencia”.</w:t>
      </w:r>
      <w:r w:rsidRPr="00B10001">
        <w:rPr>
          <w:rStyle w:val="Refdenotaalpie"/>
          <w:rFonts w:ascii="Bookman Old Style" w:hAnsi="Bookman Old Style" w:cs="Arial"/>
          <w:i/>
          <w:iCs/>
          <w:color w:val="000000"/>
          <w:lang w:val="es-ES_tradnl"/>
        </w:rPr>
        <w:footnoteReference w:id="77"/>
      </w:r>
    </w:p>
    <w:p w:rsidR="007E2A01" w:rsidRPr="00B10001" w:rsidRDefault="007E2A01" w:rsidP="007E2A01">
      <w:pPr>
        <w:shd w:val="clear" w:color="auto" w:fill="FFFFFF"/>
        <w:jc w:val="both"/>
        <w:rPr>
          <w:rFonts w:ascii="Bookman Old Style" w:hAnsi="Bookman Old Style"/>
          <w:lang w:val="es-ES_tradnl"/>
        </w:rPr>
      </w:pPr>
    </w:p>
    <w:p w:rsidR="007E2A01" w:rsidRPr="00B10001" w:rsidRDefault="007E2A01" w:rsidP="007E2A01">
      <w:pPr>
        <w:jc w:val="both"/>
        <w:rPr>
          <w:rFonts w:ascii="Bookman Old Style" w:hAnsi="Bookman Old Style" w:cs="Arial"/>
          <w:color w:val="000000"/>
          <w:lang w:val="es-ES_tradnl"/>
        </w:rPr>
      </w:pPr>
      <w:r w:rsidRPr="00B10001">
        <w:rPr>
          <w:rFonts w:ascii="Bookman Old Style" w:hAnsi="Bookman Old Style" w:cs="Arial"/>
          <w:color w:val="000000"/>
          <w:lang w:val="es-ES_tradnl"/>
        </w:rPr>
        <w:t>En el mismo sentido, expertas como Paola Cubillos y María Isabel Gutiérrez señalan que, en términos de hechos violentos, el cannabis no genera la agresividad que con mayor frecuencia se asocia con el alcohol.</w:t>
      </w:r>
      <w:r w:rsidRPr="00987C6B">
        <w:rPr>
          <w:rStyle w:val="Refdenotaalpie"/>
          <w:rFonts w:ascii="Bookman Old Style" w:hAnsi="Bookman Old Style" w:cs="Arial"/>
          <w:color w:val="000000"/>
          <w:lang w:val="es-ES_tradnl"/>
        </w:rPr>
        <w:footnoteReference w:id="78"/>
      </w:r>
      <w:r w:rsidRPr="00B10001">
        <w:rPr>
          <w:rFonts w:ascii="Bookman Old Style" w:hAnsi="Bookman Old Style" w:cs="Arial"/>
          <w:color w:val="000000"/>
          <w:lang w:val="es-ES_tradnl"/>
        </w:rPr>
        <w:t xml:space="preserve"> </w:t>
      </w:r>
    </w:p>
    <w:p w:rsidR="007E2A01" w:rsidRPr="00B10001" w:rsidRDefault="007E2A01" w:rsidP="007E2A01">
      <w:pPr>
        <w:jc w:val="both"/>
        <w:rPr>
          <w:rFonts w:ascii="Bookman Old Style" w:hAnsi="Bookman Old Style" w:cs="Arial"/>
          <w:color w:val="000000"/>
          <w:lang w:val="es-ES_tradnl"/>
        </w:rPr>
      </w:pPr>
    </w:p>
    <w:p w:rsidR="007E2A01" w:rsidRPr="00B10001" w:rsidRDefault="007E2A01" w:rsidP="007E2A01">
      <w:pPr>
        <w:jc w:val="both"/>
        <w:rPr>
          <w:rFonts w:ascii="Bookman Old Style" w:hAnsi="Bookman Old Style" w:cs="Arial"/>
          <w:color w:val="000000"/>
          <w:lang w:val="es-ES_tradnl"/>
        </w:rPr>
      </w:pPr>
      <w:r w:rsidRPr="00B10001">
        <w:rPr>
          <w:rFonts w:ascii="Bookman Old Style" w:hAnsi="Bookman Old Style" w:cs="Arial"/>
          <w:color w:val="000000"/>
          <w:lang w:val="es-ES_tradnl"/>
        </w:rPr>
        <w:t>Finalmente, conforme al estudio realizado por Denson, Blundell y otros, el alcohol es el contribuyente psicotrópico más común al comportamiento agresivo. En muchas partes del mundo, el consumo agudo de alcohol está implicado en aproximadamente entre el 35% y el 60% de los delitos violentos.</w:t>
      </w:r>
      <w:r w:rsidRPr="00B10001">
        <w:rPr>
          <w:rStyle w:val="Refdenotaalpie"/>
          <w:rFonts w:ascii="Bookman Old Style" w:hAnsi="Bookman Old Style" w:cs="Arial"/>
          <w:color w:val="000000"/>
          <w:lang w:val="es-ES_tradnl"/>
        </w:rPr>
        <w:footnoteReference w:id="79"/>
      </w:r>
      <w:r w:rsidRPr="00B10001">
        <w:rPr>
          <w:rFonts w:ascii="Bookman Old Style" w:hAnsi="Bookman Old Style" w:cs="Arial"/>
          <w:color w:val="000000"/>
          <w:lang w:val="es-ES_tradnl"/>
        </w:rPr>
        <w:t> </w:t>
      </w:r>
    </w:p>
    <w:p w:rsidR="007E2A01" w:rsidRPr="00B10001" w:rsidRDefault="007E2A01" w:rsidP="007E2A01">
      <w:pPr>
        <w:shd w:val="clear" w:color="auto" w:fill="FFFFFF"/>
        <w:jc w:val="both"/>
        <w:rPr>
          <w:rFonts w:ascii="Bookman Old Style" w:hAnsi="Bookman Old Style"/>
          <w:lang w:val="es-ES_tradnl"/>
        </w:rPr>
      </w:pPr>
    </w:p>
    <w:p w:rsidR="007E2A01" w:rsidRPr="00B10001" w:rsidRDefault="007E2A01" w:rsidP="007E2A01">
      <w:pPr>
        <w:jc w:val="both"/>
        <w:rPr>
          <w:rFonts w:ascii="Bookman Old Style" w:hAnsi="Bookman Old Style"/>
          <w:lang w:val="es-ES_tradnl"/>
        </w:rPr>
      </w:pPr>
      <w:r w:rsidRPr="00B10001">
        <w:rPr>
          <w:rFonts w:ascii="Bookman Old Style" w:hAnsi="Bookman Old Style"/>
          <w:lang w:val="es-ES_tradnl"/>
        </w:rPr>
        <w:t>Es evidente que los diversos estudios realizados en la actualidad han empezado, y por fortuna, a cuestionar los mitos dados por ciertos alrededor del consumo de cannabis. A lo largo de este documento se podrá evidenciar buena parte de esa evidencia. No obstante, la discusión acerca del cambio en la política de drogas no se trata de una competencia entre cuál sustancia causa más o menos daño o cuál es más adictiva. La discusión realmente es sobre cómo el potencial uso excesivo o consumo problemático, puede desencadenar impactos negativos en la salud humana y cuál debería ser la respuesta del Estado</w:t>
      </w:r>
      <w:r>
        <w:rPr>
          <w:rFonts w:ascii="Bookman Old Style" w:hAnsi="Bookman Old Style"/>
          <w:lang w:val="es-ES_tradnl"/>
        </w:rPr>
        <w:t xml:space="preserve"> ante este escenario límite.</w:t>
      </w:r>
    </w:p>
    <w:p w:rsidR="007E2A01" w:rsidRPr="00B10001" w:rsidRDefault="007E2A01" w:rsidP="007E2A01">
      <w:pPr>
        <w:shd w:val="clear" w:color="auto" w:fill="FFFFFF"/>
        <w:jc w:val="both"/>
        <w:rPr>
          <w:rFonts w:ascii="Bookman Old Style" w:hAnsi="Bookman Old Style"/>
          <w:lang w:val="es-ES_tradnl"/>
        </w:rPr>
      </w:pPr>
    </w:p>
    <w:p w:rsidR="007E2A01" w:rsidRPr="007F6FA2" w:rsidRDefault="007E2A01" w:rsidP="007E2A01">
      <w:pPr>
        <w:jc w:val="both"/>
        <w:rPr>
          <w:rFonts w:ascii="Bookman Old Style" w:eastAsia="Calibri" w:hAnsi="Bookman Old Style" w:cs="Calibri"/>
          <w:i/>
          <w:lang w:val="es-ES_tradnl"/>
        </w:rPr>
      </w:pPr>
      <w:r w:rsidRPr="00B10001">
        <w:rPr>
          <w:rFonts w:ascii="Bookman Old Style" w:hAnsi="Bookman Old Style"/>
          <w:lang w:val="es-ES_tradnl"/>
        </w:rPr>
        <w:t xml:space="preserve">En ese sentido, se puede concluir entonces que es necesario </w:t>
      </w:r>
      <w:r w:rsidRPr="00B10001">
        <w:rPr>
          <w:rFonts w:ascii="Bookman Old Style" w:eastAsia="Calibri" w:hAnsi="Bookman Old Style" w:cs="Calibri"/>
          <w:lang w:val="es-ES_tradnl"/>
        </w:rPr>
        <w:t xml:space="preserve">que los Estados diseñen respuestas diferenciadas para cada tipo de población y de sustancia ya que, como ya lo había advertido la Corte Constitucional en el año 1994 </w:t>
      </w:r>
      <w:r w:rsidRPr="00B10001">
        <w:rPr>
          <w:rFonts w:ascii="Bookman Old Style" w:eastAsia="Calibri" w:hAnsi="Bookman Old Style" w:cs="Calibri"/>
          <w:i/>
          <w:lang w:val="es-ES_tradnl"/>
        </w:rPr>
        <w:t>“no puede, pues, un Estado respetuoso de la dignidad humana, de la autonomía personal y el libre desarrollo de la personalidad, escamotear su obligación irrenunciable de educar, y sustituir a ella la represión como forma de controlar el consumo de sustancias que se juzgan nocivas para la persona individualmente considerada y, eventualmente, para la comunidad a la que necesariamente se halla integrada”.</w:t>
      </w:r>
      <w:r w:rsidRPr="00B10001">
        <w:rPr>
          <w:rStyle w:val="Refdenotaalpie"/>
          <w:rFonts w:ascii="Bookman Old Style" w:eastAsia="Calibri" w:hAnsi="Bookman Old Style" w:cs="Calibri"/>
          <w:i/>
          <w:lang w:val="es-ES_tradnl"/>
        </w:rPr>
        <w:footnoteReference w:id="80"/>
      </w:r>
    </w:p>
    <w:p w:rsidR="007E2A01" w:rsidRDefault="007E2A01" w:rsidP="007E2A01">
      <w:pPr>
        <w:widowControl/>
        <w:shd w:val="clear" w:color="auto" w:fill="FFFFFF"/>
        <w:jc w:val="both"/>
        <w:rPr>
          <w:rFonts w:ascii="Bookman Old Style" w:hAnsi="Bookman Old Style"/>
          <w:szCs w:val="24"/>
          <w:lang w:val="es-ES_tradnl"/>
        </w:rPr>
      </w:pPr>
    </w:p>
    <w:p w:rsidR="007E2A01" w:rsidRPr="00987C6B" w:rsidRDefault="007E2A01" w:rsidP="007E2A01">
      <w:pPr>
        <w:widowControl/>
        <w:shd w:val="clear" w:color="auto" w:fill="FFFFFF"/>
        <w:jc w:val="both"/>
        <w:rPr>
          <w:rFonts w:ascii="Bookman Old Style" w:hAnsi="Bookman Old Style"/>
          <w:szCs w:val="24"/>
          <w:lang w:val="es-ES_tradnl"/>
        </w:rPr>
      </w:pPr>
      <w:r w:rsidRPr="00987C6B">
        <w:rPr>
          <w:rFonts w:ascii="Bookman Old Style" w:hAnsi="Bookman Old Style"/>
          <w:szCs w:val="24"/>
          <w:lang w:val="es-ES_tradnl"/>
        </w:rPr>
        <w:t xml:space="preserve">Adicionalmente, es importante </w:t>
      </w:r>
      <w:r w:rsidRPr="00987C6B">
        <w:rPr>
          <w:rFonts w:ascii="Bookman Old Style" w:eastAsia="Calibri" w:hAnsi="Bookman Old Style" w:cs="Calibri"/>
          <w:szCs w:val="24"/>
          <w:lang w:val="es-ES_tradnl"/>
        </w:rPr>
        <w:t xml:space="preserve">diferenciar el consumo problemático, del consumo ocasional o adulto, siendo este segundo un tipo de consumo que no necesariamente tiene afectación sobre la salud pública, ni sobre los derechos de los demás. </w:t>
      </w:r>
    </w:p>
    <w:p w:rsidR="007E2A01" w:rsidRPr="00987C6B" w:rsidRDefault="007E2A01" w:rsidP="007E2A01">
      <w:pPr>
        <w:widowControl/>
        <w:shd w:val="clear" w:color="auto" w:fill="FFFFFF"/>
        <w:jc w:val="both"/>
        <w:rPr>
          <w:rFonts w:ascii="Bookman Old Style" w:hAnsi="Bookman Old Style"/>
          <w:szCs w:val="24"/>
          <w:lang w:val="es-ES_tradnl"/>
        </w:rPr>
      </w:pPr>
    </w:p>
    <w:p w:rsidR="007E2A01" w:rsidRPr="00987C6B" w:rsidRDefault="007E2A01" w:rsidP="007E2A01">
      <w:pPr>
        <w:widowControl/>
        <w:shd w:val="clear" w:color="auto" w:fill="FFFFFF"/>
        <w:jc w:val="both"/>
        <w:rPr>
          <w:rFonts w:ascii="Bookman Old Style" w:hAnsi="Bookman Old Style"/>
          <w:szCs w:val="24"/>
          <w:lang w:val="es-ES_tradnl"/>
        </w:rPr>
      </w:pPr>
      <w:r w:rsidRPr="00987C6B">
        <w:rPr>
          <w:rFonts w:ascii="Bookman Old Style" w:hAnsi="Bookman Old Style"/>
          <w:szCs w:val="24"/>
          <w:lang w:val="es-ES_tradnl"/>
        </w:rPr>
        <w:t>En lo que respecta al consumo problemático, más que la prohibición, se debe garantizar una oferta de servicios de salud, con tratamientos que sean voluntarios y basados en evidencia, de acuerdo a: 1) lo detallado en los estándares de la Organización Mundial de la Salud (OMS); 2) el documento de resultados de la UNGASS (2016); y 3) la propia legislación colombiana a través de la Ley 1566 de 2012</w:t>
      </w:r>
      <w:r w:rsidRPr="00987C6B">
        <w:rPr>
          <w:rStyle w:val="Refdenotaalpie"/>
          <w:rFonts w:ascii="Bookman Old Style" w:hAnsi="Bookman Old Style"/>
          <w:szCs w:val="24"/>
          <w:lang w:val="es-ES_tradnl"/>
        </w:rPr>
        <w:footnoteReference w:id="81"/>
      </w:r>
      <w:r w:rsidRPr="00987C6B">
        <w:rPr>
          <w:rFonts w:ascii="Bookman Old Style" w:hAnsi="Bookman Old Style"/>
          <w:szCs w:val="24"/>
          <w:lang w:val="es-ES_tradnl"/>
        </w:rPr>
        <w:t>.</w:t>
      </w:r>
    </w:p>
    <w:p w:rsidR="007E2A01" w:rsidRPr="00987C6B" w:rsidRDefault="007E2A01" w:rsidP="007E2A01">
      <w:pPr>
        <w:widowControl/>
        <w:shd w:val="clear" w:color="auto" w:fill="FFFFFF"/>
        <w:jc w:val="both"/>
        <w:rPr>
          <w:rFonts w:ascii="Bookman Old Style" w:hAnsi="Bookman Old Style"/>
          <w:szCs w:val="24"/>
          <w:lang w:val="es-ES_tradnl"/>
        </w:rPr>
      </w:pPr>
    </w:p>
    <w:p w:rsidR="007E2A01" w:rsidRPr="00987C6B" w:rsidRDefault="007E2A01" w:rsidP="007E2A01">
      <w:pPr>
        <w:widowControl/>
        <w:shd w:val="clear" w:color="auto" w:fill="FFFFFF"/>
        <w:jc w:val="both"/>
        <w:rPr>
          <w:rFonts w:ascii="Bookman Old Style" w:eastAsia="Calibri" w:hAnsi="Bookman Old Style" w:cs="Calibri"/>
          <w:szCs w:val="24"/>
          <w:lang w:val="es-ES_tradnl"/>
        </w:rPr>
      </w:pPr>
      <w:r w:rsidRPr="00987C6B">
        <w:rPr>
          <w:rFonts w:ascii="Bookman Old Style" w:hAnsi="Bookman Old Style"/>
          <w:szCs w:val="24"/>
          <w:lang w:val="es-ES_tradnl"/>
        </w:rPr>
        <w:t xml:space="preserve">Si lo que se pretendió con el Acto Legislativo 02 de 2009 fue entonces proteger el derecho a la salud, </w:t>
      </w:r>
      <w:r w:rsidRPr="00987C6B">
        <w:rPr>
          <w:rFonts w:ascii="Bookman Old Style" w:eastAsia="Calibri" w:hAnsi="Bookman Old Style" w:cs="Calibri"/>
          <w:szCs w:val="24"/>
          <w:lang w:val="es-ES_tradnl"/>
        </w:rPr>
        <w:t>es necesario que el Estado colombiano adopte las medidas correspondientes para aplicar los principios de la salud pública, en vez de promover una política de naturaleza prohibitiva y penal.</w:t>
      </w:r>
      <w:r w:rsidRPr="00987C6B">
        <w:rPr>
          <w:rStyle w:val="Refdenotaalpie"/>
          <w:rFonts w:ascii="Bookman Old Style" w:eastAsia="Calibri" w:hAnsi="Bookman Old Style" w:cs="Calibri"/>
          <w:szCs w:val="24"/>
          <w:lang w:val="es-ES_tradnl"/>
        </w:rPr>
        <w:footnoteReference w:id="82"/>
      </w:r>
    </w:p>
    <w:p w:rsidR="007E2A01" w:rsidRPr="00987C6B" w:rsidRDefault="007E2A01" w:rsidP="007E2A01">
      <w:pPr>
        <w:widowControl/>
        <w:shd w:val="clear" w:color="auto" w:fill="FFFFFF"/>
        <w:jc w:val="both"/>
        <w:rPr>
          <w:rFonts w:ascii="Bookman Old Style" w:eastAsia="Calibri" w:hAnsi="Bookman Old Style" w:cs="Calibri"/>
          <w:szCs w:val="24"/>
          <w:lang w:val="es-ES_tradnl"/>
        </w:rPr>
      </w:pPr>
    </w:p>
    <w:p w:rsidR="007E2A01" w:rsidRPr="00987C6B" w:rsidRDefault="007E2A01" w:rsidP="007E2A01">
      <w:pPr>
        <w:jc w:val="both"/>
        <w:rPr>
          <w:rFonts w:ascii="Bookman Old Style" w:eastAsia="Calibri" w:hAnsi="Bookman Old Style" w:cs="Calibri"/>
          <w:szCs w:val="24"/>
          <w:lang w:val="es-ES_tradnl"/>
        </w:rPr>
      </w:pPr>
      <w:r w:rsidRPr="00987C6B">
        <w:rPr>
          <w:rFonts w:ascii="Bookman Old Style" w:eastAsia="Calibri" w:hAnsi="Bookman Old Style" w:cs="Calibri"/>
          <w:szCs w:val="24"/>
          <w:lang w:val="es-ES_tradnl"/>
        </w:rPr>
        <w:t>En este escenario, es imperativo fortalecer el enfoque de salud pública el cual permitirá definir estrategias y herramientas para abordar la problemática de las drogas, no solo desde la visión del individuo sino también de lo colectivo, teniendo en cuenta el medio ambiente, la comunidad, la familia y el ámbito económico, pues su abandono puede exacerbar factores de riesgo que contribuyen al consumo ilícito de drogas.</w:t>
      </w:r>
    </w:p>
    <w:p w:rsidR="007E2A01" w:rsidRPr="00987C6B" w:rsidRDefault="007E2A01" w:rsidP="007E2A01">
      <w:pPr>
        <w:jc w:val="both"/>
        <w:rPr>
          <w:rFonts w:ascii="Bookman Old Style" w:eastAsia="Calibri" w:hAnsi="Bookman Old Style" w:cs="Calibri"/>
          <w:szCs w:val="24"/>
          <w:lang w:val="es-ES_tradnl"/>
        </w:rPr>
      </w:pPr>
    </w:p>
    <w:p w:rsidR="007E2A01" w:rsidRPr="00987C6B" w:rsidRDefault="007E2A01" w:rsidP="007E2A01">
      <w:pPr>
        <w:jc w:val="both"/>
        <w:rPr>
          <w:rFonts w:ascii="Bookman Old Style" w:eastAsia="Calibri" w:hAnsi="Bookman Old Style" w:cs="Calibri"/>
          <w:szCs w:val="24"/>
          <w:lang w:val="es-ES_tradnl"/>
        </w:rPr>
      </w:pPr>
      <w:r w:rsidRPr="00987C6B">
        <w:rPr>
          <w:rFonts w:ascii="Bookman Old Style" w:eastAsia="Calibri" w:hAnsi="Bookman Old Style" w:cs="Calibri"/>
          <w:szCs w:val="24"/>
          <w:lang w:val="es-ES_tradnl"/>
        </w:rPr>
        <w:t>Asimismo, y de acuerdo a lo planteado por Medina – Mora, definir el fenómeno de las drogas desde una perspectiva de salud pública permite reconocer diferencias entre las drogas y sus riesgos. Además, se aleja de conceptualizaciones que ven a las drogas como fin último, con el decomiso y la detención de personas como la meta, en cambio ve a las sustancias en su interacción con las personas que las usan o tienen potencial para hacerlo y que viven en contextos con mayor o menor riesgo y que son más o menos vulnerables a la experimentación.</w:t>
      </w:r>
      <w:r w:rsidRPr="00987C6B">
        <w:rPr>
          <w:rStyle w:val="Refdenotaalpie"/>
          <w:rFonts w:ascii="Bookman Old Style" w:eastAsia="Calibri" w:hAnsi="Bookman Old Style" w:cs="Calibri"/>
          <w:szCs w:val="24"/>
          <w:lang w:val="es-ES_tradnl"/>
        </w:rPr>
        <w:footnoteReference w:id="83"/>
      </w:r>
    </w:p>
    <w:p w:rsidR="007E2A01" w:rsidRPr="00987C6B" w:rsidRDefault="007E2A01" w:rsidP="007E2A01">
      <w:pPr>
        <w:jc w:val="both"/>
        <w:rPr>
          <w:rFonts w:ascii="Bookman Old Style" w:eastAsia="Calibri" w:hAnsi="Bookman Old Style" w:cs="Calibri"/>
          <w:szCs w:val="24"/>
          <w:lang w:val="es-ES_tradnl"/>
        </w:rPr>
      </w:pPr>
    </w:p>
    <w:p w:rsidR="007E2A01" w:rsidRPr="00987C6B" w:rsidRDefault="007E2A01" w:rsidP="007E2A01">
      <w:pPr>
        <w:jc w:val="both"/>
        <w:rPr>
          <w:rFonts w:ascii="Bookman Old Style" w:eastAsia="Calibri" w:hAnsi="Bookman Old Style" w:cs="Calibri"/>
          <w:szCs w:val="24"/>
          <w:lang w:val="es-ES_tradnl"/>
        </w:rPr>
      </w:pPr>
      <w:r w:rsidRPr="00987C6B">
        <w:rPr>
          <w:rFonts w:ascii="Bookman Old Style" w:eastAsia="Calibri" w:hAnsi="Bookman Old Style" w:cs="Calibri"/>
          <w:szCs w:val="24"/>
          <w:lang w:val="es-ES_tradnl"/>
        </w:rPr>
        <w:t>En esta medida, se decide adoptar, de manera gradual, la visión de la dependencia como una enfermedad crónica y recurrente que requiere de atención integral. Porque los ciudadanos dependientes de las drogas deben ser tratados como pacientes necesitados de tratamiento y no como delincuentes merecedores de castigo, así como separar el consumo adulto del consumo problemático, deuda histórica del Estado frente a los consumidores. De este modo, el accionar del Gobierno no se agota en el sistema judicial, por el contrario, entre las estrategias se incluyen la promoción de estilos de vida saludable, la prevención, el tratamiento, la reducción del daño asociado a usos problemáticos y la reinserción social y, protegiendo los derechos humanos de las personas que usan drogas.</w:t>
      </w:r>
      <w:r w:rsidRPr="00987C6B">
        <w:rPr>
          <w:rStyle w:val="Refdenotaalpie"/>
          <w:rFonts w:ascii="Bookman Old Style" w:eastAsia="Calibri" w:hAnsi="Bookman Old Style" w:cs="Calibri"/>
          <w:szCs w:val="24"/>
          <w:lang w:val="es-ES_tradnl"/>
        </w:rPr>
        <w:footnoteReference w:id="84"/>
      </w:r>
    </w:p>
    <w:p w:rsidR="007E2A01" w:rsidRPr="00987C6B" w:rsidRDefault="007E2A01" w:rsidP="007E2A01">
      <w:pPr>
        <w:jc w:val="both"/>
        <w:rPr>
          <w:rFonts w:ascii="Bookman Old Style" w:eastAsia="Calibri" w:hAnsi="Bookman Old Style" w:cs="Calibri"/>
          <w:szCs w:val="24"/>
          <w:lang w:val="es-ES_tradnl"/>
        </w:rPr>
      </w:pPr>
    </w:p>
    <w:p w:rsidR="007E2A01" w:rsidRPr="00987C6B" w:rsidRDefault="007E2A01" w:rsidP="007E2A01">
      <w:pPr>
        <w:jc w:val="both"/>
        <w:rPr>
          <w:rFonts w:ascii="Bookman Old Style" w:hAnsi="Bookman Old Style"/>
          <w:i/>
          <w:szCs w:val="24"/>
          <w:lang w:val="es-ES_tradnl"/>
        </w:rPr>
      </w:pPr>
      <w:r w:rsidRPr="00987C6B">
        <w:rPr>
          <w:rFonts w:ascii="Bookman Old Style" w:eastAsia="Calibri" w:hAnsi="Bookman Old Style" w:cs="Calibri"/>
          <w:szCs w:val="24"/>
          <w:lang w:val="es-ES_tradnl"/>
        </w:rPr>
        <w:t>Durante los últimos 2</w:t>
      </w:r>
      <w:r>
        <w:rPr>
          <w:rFonts w:ascii="Bookman Old Style" w:eastAsia="Calibri" w:hAnsi="Bookman Old Style" w:cs="Calibri"/>
          <w:szCs w:val="24"/>
          <w:lang w:val="es-ES_tradnl"/>
        </w:rPr>
        <w:t>8</w:t>
      </w:r>
      <w:r w:rsidRPr="00987C6B">
        <w:rPr>
          <w:rFonts w:ascii="Bookman Old Style" w:eastAsia="Calibri" w:hAnsi="Bookman Old Style" w:cs="Calibri"/>
          <w:szCs w:val="24"/>
          <w:lang w:val="es-ES_tradnl"/>
        </w:rPr>
        <w:t xml:space="preserve"> años luego de que la Honorable Corte Constitucional profiriera </w:t>
      </w:r>
      <w:r w:rsidRPr="00987C6B">
        <w:rPr>
          <w:rFonts w:ascii="Bookman Old Style" w:hAnsi="Bookman Old Style"/>
          <w:szCs w:val="24"/>
          <w:lang w:val="es-ES_tradnl"/>
        </w:rPr>
        <w:t xml:space="preserve">la sentencia C-221/94, se han llevado a cabo múltiples experiencias legislativas y de investigación en distintos países del mundo, que han agregado más argumentos a lo expresado por la Corte en su momento, bajo la misma premisa: </w:t>
      </w:r>
      <w:r w:rsidRPr="00987C6B">
        <w:rPr>
          <w:rFonts w:ascii="Bookman Old Style" w:hAnsi="Bookman Old Style"/>
          <w:i/>
          <w:szCs w:val="24"/>
          <w:lang w:val="es-ES_tradnl"/>
        </w:rPr>
        <w:t>la penalización del consumo de drogas, que se hace en nombre de la salud, es desastrosa para la salud pública y para los propios consumidores.</w:t>
      </w:r>
    </w:p>
    <w:p w:rsidR="007E2A01" w:rsidRPr="00987C6B" w:rsidRDefault="007E2A01" w:rsidP="007E2A01">
      <w:pPr>
        <w:jc w:val="both"/>
        <w:rPr>
          <w:rFonts w:ascii="Bookman Old Style" w:eastAsia="Calibri" w:hAnsi="Bookman Old Style" w:cs="Calibri"/>
          <w:szCs w:val="24"/>
          <w:lang w:val="es-ES_tradnl"/>
        </w:rPr>
      </w:pPr>
    </w:p>
    <w:p w:rsidR="007E2A01" w:rsidRPr="00485CC5" w:rsidRDefault="007E2A01" w:rsidP="007E2A01">
      <w:pPr>
        <w:jc w:val="both"/>
        <w:rPr>
          <w:rFonts w:ascii="Bookman Old Style" w:eastAsia="Calibri" w:hAnsi="Bookman Old Style" w:cs="Calibri"/>
          <w:szCs w:val="24"/>
          <w:lang w:val="es-ES_tradnl"/>
        </w:rPr>
      </w:pPr>
      <w:r w:rsidRPr="00987C6B">
        <w:rPr>
          <w:rFonts w:ascii="Bookman Old Style" w:eastAsia="Calibri" w:hAnsi="Bookman Old Style" w:cs="Calibri"/>
          <w:szCs w:val="24"/>
          <w:lang w:val="es-ES_tradnl"/>
        </w:rPr>
        <w:t xml:space="preserve">Por la razón que aquí ya se ha expresado, la penalización no impide que las personas accedan a las drogas, pero si las obliga a consumirlas en el mundo de la ilegalidad y en condiciones que amenazan su seguridad y su salud. </w:t>
      </w:r>
      <w:r w:rsidRPr="00987C6B">
        <w:rPr>
          <w:rFonts w:ascii="Bookman Old Style" w:hAnsi="Bookman Old Style"/>
          <w:szCs w:val="24"/>
          <w:lang w:val="es-ES_tradnl"/>
        </w:rPr>
        <w:t>Esto no solo incrementa los riesgos sanitarios para los consumidores, sino que además evita que aquellos con problemas de dependencia busquen ayuda, pues temen la sanción y es profundamente discriminatorio.</w:t>
      </w:r>
      <w:r w:rsidRPr="00987C6B">
        <w:rPr>
          <w:rStyle w:val="Refdenotaalpie"/>
          <w:rFonts w:ascii="Bookman Old Style" w:hAnsi="Bookman Old Style"/>
          <w:szCs w:val="24"/>
          <w:lang w:val="es-ES_tradnl"/>
        </w:rPr>
        <w:footnoteReference w:id="85"/>
      </w:r>
    </w:p>
    <w:p w:rsidR="007E2A01" w:rsidRPr="00485CC5" w:rsidRDefault="007E2A01" w:rsidP="007E2A01">
      <w:pPr>
        <w:jc w:val="both"/>
        <w:rPr>
          <w:rFonts w:ascii="Bookman Old Style" w:eastAsia="Calibri" w:hAnsi="Bookman Old Style" w:cs="Calibri"/>
          <w:szCs w:val="24"/>
          <w:lang w:val="es-ES_tradnl"/>
        </w:rPr>
      </w:pPr>
    </w:p>
    <w:p w:rsidR="007E2A01" w:rsidRPr="001B4F33" w:rsidRDefault="007E2A01" w:rsidP="007E2A01">
      <w:pPr>
        <w:jc w:val="both"/>
        <w:rPr>
          <w:rFonts w:ascii="Bookman Old Style" w:eastAsia="Calibri" w:hAnsi="Bookman Old Style" w:cs="Calibri"/>
          <w:b/>
          <w:szCs w:val="24"/>
          <w:lang w:val="es-ES_tradnl"/>
        </w:rPr>
      </w:pPr>
      <w:r>
        <w:rPr>
          <w:rFonts w:ascii="Bookman Old Style" w:eastAsia="Calibri" w:hAnsi="Bookman Old Style" w:cs="Calibri"/>
          <w:b/>
          <w:szCs w:val="24"/>
          <w:lang w:val="es-ES_tradnl"/>
        </w:rPr>
        <w:t>7</w:t>
      </w:r>
      <w:r w:rsidRPr="001B4F33">
        <w:rPr>
          <w:rFonts w:ascii="Bookman Old Style" w:eastAsia="Calibri" w:hAnsi="Bookman Old Style" w:cs="Calibri"/>
          <w:b/>
          <w:szCs w:val="24"/>
          <w:lang w:val="es-ES_tradnl"/>
        </w:rPr>
        <w:t>.2.2 REGULARIZACIÓN EXCLUSIVA DEL CANNABIS.</w:t>
      </w:r>
    </w:p>
    <w:p w:rsidR="007E2A01" w:rsidRPr="00C30DB4" w:rsidRDefault="007E2A01" w:rsidP="007E2A01">
      <w:pPr>
        <w:jc w:val="both"/>
        <w:rPr>
          <w:rFonts w:ascii="Bookman Old Style" w:eastAsia="Calibri" w:hAnsi="Bookman Old Style" w:cs="Calibri"/>
          <w:b/>
          <w:szCs w:val="24"/>
          <w:highlight w:val="yellow"/>
          <w:lang w:val="es-ES_tradnl"/>
        </w:rPr>
      </w:pPr>
    </w:p>
    <w:p w:rsidR="007E2A01" w:rsidRPr="00B10001" w:rsidRDefault="007E2A01" w:rsidP="007E2A01">
      <w:pPr>
        <w:jc w:val="both"/>
        <w:rPr>
          <w:rFonts w:ascii="Bookman Old Style" w:eastAsia="Calibri" w:hAnsi="Bookman Old Style" w:cs="Calibri"/>
          <w:lang w:val="es-ES_tradnl"/>
        </w:rPr>
      </w:pPr>
      <w:r w:rsidRPr="00B10001">
        <w:rPr>
          <w:rFonts w:ascii="Bookman Old Style" w:eastAsia="Calibri" w:hAnsi="Bookman Old Style" w:cs="Calibri"/>
          <w:lang w:val="es-ES_tradnl"/>
        </w:rPr>
        <w:t>Las sustancias</w:t>
      </w:r>
      <w:r w:rsidR="003D3E1D">
        <w:rPr>
          <w:rFonts w:ascii="Bookman Old Style" w:eastAsia="Calibri" w:hAnsi="Bookman Old Style" w:cs="Calibri"/>
          <w:lang w:val="es-ES_tradnl"/>
        </w:rPr>
        <w:t xml:space="preserve"> psicoactivas</w:t>
      </w:r>
      <w:r w:rsidRPr="00B10001">
        <w:rPr>
          <w:rFonts w:ascii="Bookman Old Style" w:eastAsia="Calibri" w:hAnsi="Bookman Old Style" w:cs="Calibri"/>
          <w:lang w:val="es-ES_tradnl"/>
        </w:rPr>
        <w:t xml:space="preserve"> en general, tienen un potencial de adicción, entendido como la capacidad de desarrollar hábitos de consumo ligadas a una dependencia </w:t>
      </w:r>
      <w:r w:rsidRPr="00B10001">
        <w:rPr>
          <w:rFonts w:ascii="Bookman Old Style" w:eastAsia="Calibri" w:hAnsi="Bookman Old Style" w:cs="Calibri"/>
          <w:lang w:val="es-ES_tradnl"/>
        </w:rPr>
        <w:lastRenderedPageBreak/>
        <w:t xml:space="preserve">psicológica o fisiológica, así como generan un síndrome de abstinencia, entendido como las alteraciones físicas y psíquicas que aparecen en una persona cuando deja bruscamente de tomar una sustancia a la cual está habituada o es adicta. </w:t>
      </w:r>
    </w:p>
    <w:p w:rsidR="007E2A01" w:rsidRPr="00B10001" w:rsidRDefault="007E2A01" w:rsidP="007E2A01">
      <w:pPr>
        <w:jc w:val="both"/>
        <w:rPr>
          <w:rFonts w:ascii="Bookman Old Style" w:eastAsia="Calibri" w:hAnsi="Bookman Old Style" w:cs="Calibri"/>
          <w:lang w:val="es-ES_tradnl"/>
        </w:rPr>
      </w:pPr>
    </w:p>
    <w:p w:rsidR="007E2A01" w:rsidRPr="008F2EDE" w:rsidRDefault="007E2A01" w:rsidP="007E2A01">
      <w:pPr>
        <w:jc w:val="both"/>
        <w:rPr>
          <w:rFonts w:ascii="Bookman Old Style" w:eastAsia="Calibri" w:hAnsi="Bookman Old Style" w:cs="Calibri"/>
          <w:lang w:val="es-ES_tradnl"/>
        </w:rPr>
      </w:pPr>
      <w:r w:rsidRPr="008F2EDE">
        <w:rPr>
          <w:rFonts w:ascii="Bookman Old Style" w:eastAsia="Calibri" w:hAnsi="Bookman Old Style" w:cs="Calibri"/>
          <w:lang w:val="es-ES_tradnl"/>
        </w:rPr>
        <w:t>De acuerdo al estudio realizado por el profesor de Psicofarmacología en la Universidad de Bristol, David Nutt, sustancias prohibidas y no prohibidas como la heroína (peligrosa por su alta mortalidad)</w:t>
      </w:r>
      <w:r w:rsidRPr="008F2EDE">
        <w:rPr>
          <w:rStyle w:val="Refdenotaalpie"/>
          <w:rFonts w:ascii="Bookman Old Style" w:eastAsia="Calibri" w:hAnsi="Bookman Old Style" w:cs="Calibri"/>
          <w:lang w:val="es-ES_tradnl"/>
        </w:rPr>
        <w:footnoteReference w:id="86"/>
      </w:r>
      <w:r w:rsidRPr="008F2EDE">
        <w:rPr>
          <w:rFonts w:ascii="Bookman Old Style" w:eastAsia="Calibri" w:hAnsi="Bookman Old Style" w:cs="Calibri"/>
          <w:lang w:val="es-ES_tradnl"/>
        </w:rPr>
        <w:t>, la cocaína (que cuando decanta en muerte por sobredosis muestra edema cerebral y pulmonar)</w:t>
      </w:r>
      <w:r w:rsidRPr="008F2EDE">
        <w:rPr>
          <w:rStyle w:val="Refdenotaalpie"/>
          <w:rFonts w:ascii="Bookman Old Style" w:eastAsia="Calibri" w:hAnsi="Bookman Old Style" w:cs="Calibri"/>
          <w:lang w:val="es-ES_tradnl"/>
        </w:rPr>
        <w:footnoteReference w:id="87"/>
      </w:r>
      <w:r w:rsidRPr="008F2EDE">
        <w:rPr>
          <w:rFonts w:ascii="Bookman Old Style" w:eastAsia="Calibri" w:hAnsi="Bookman Old Style" w:cs="Calibri"/>
          <w:lang w:val="es-ES_tradnl"/>
        </w:rPr>
        <w:t>, la metanfetamina, el crack o el alcohol (el cual es uno de los causantes de la cirrosis) son las sustancias que más afectación al consumidor pueden generar.</w:t>
      </w:r>
      <w:r w:rsidRPr="008F2EDE">
        <w:rPr>
          <w:rStyle w:val="Refdenotaalpie"/>
          <w:rFonts w:ascii="Bookman Old Style" w:eastAsia="Calibri" w:hAnsi="Bookman Old Style" w:cs="Calibri"/>
          <w:lang w:val="es-ES_tradnl"/>
        </w:rPr>
        <w:footnoteReference w:id="88"/>
      </w:r>
    </w:p>
    <w:p w:rsidR="007E2A01" w:rsidRPr="008F2EDE" w:rsidRDefault="007E2A01" w:rsidP="007E2A01">
      <w:pPr>
        <w:jc w:val="both"/>
        <w:rPr>
          <w:rFonts w:ascii="Bookman Old Style" w:eastAsia="Calibri" w:hAnsi="Bookman Old Style" w:cs="Calibri"/>
          <w:lang w:val="es-ES_tradnl"/>
        </w:rPr>
      </w:pPr>
    </w:p>
    <w:p w:rsidR="007E2A01" w:rsidRPr="008F2EDE" w:rsidRDefault="007E2A01" w:rsidP="007E2A01">
      <w:pPr>
        <w:jc w:val="both"/>
        <w:rPr>
          <w:rFonts w:ascii="Bookman Old Style" w:eastAsia="Calibri" w:hAnsi="Bookman Old Style" w:cs="Calibri"/>
          <w:lang w:val="es-ES_tradnl"/>
        </w:rPr>
      </w:pPr>
      <w:r w:rsidRPr="008F2EDE">
        <w:rPr>
          <w:rFonts w:ascii="Bookman Old Style" w:eastAsia="Calibri" w:hAnsi="Bookman Old Style" w:cs="Calibri"/>
          <w:lang w:val="es-ES_tradnl"/>
        </w:rPr>
        <w:t>El alcohol como primer ejemplo, genera tolerancia, acostumbramiento y dependencia. Dicha sustancia ante su abuso presenta como consecuencia efectos negativos acentuados que tienen tendencia a decantar en una embriaguez patológica</w:t>
      </w:r>
      <w:r w:rsidRPr="008F2EDE">
        <w:rPr>
          <w:rStyle w:val="Refdenotaalpie"/>
          <w:rFonts w:ascii="Bookman Old Style" w:eastAsia="Calibri" w:hAnsi="Bookman Old Style" w:cs="Calibri"/>
          <w:lang w:val="es-ES_tradnl"/>
        </w:rPr>
        <w:footnoteReference w:id="89"/>
      </w:r>
      <w:r w:rsidRPr="008F2EDE">
        <w:rPr>
          <w:rFonts w:ascii="Bookman Old Style" w:eastAsia="Calibri" w:hAnsi="Bookman Old Style" w:cs="Calibri"/>
          <w:lang w:val="es-ES_tradnl"/>
        </w:rPr>
        <w:t>, entre otras afectaciones a la salud de sus consumidores, como bien lo ha venido advirtiendo la OMS.</w:t>
      </w:r>
    </w:p>
    <w:p w:rsidR="007E2A01" w:rsidRPr="008F2EDE" w:rsidRDefault="007E2A01" w:rsidP="007E2A01">
      <w:pPr>
        <w:jc w:val="both"/>
        <w:rPr>
          <w:rFonts w:ascii="Bookman Old Style" w:eastAsia="Calibri" w:hAnsi="Bookman Old Style" w:cs="Calibri"/>
          <w:lang w:val="es-ES_tradnl"/>
        </w:rPr>
      </w:pPr>
    </w:p>
    <w:p w:rsidR="007E2A01" w:rsidRPr="008F2EDE" w:rsidRDefault="007E2A01" w:rsidP="007E2A01">
      <w:pPr>
        <w:jc w:val="both"/>
        <w:rPr>
          <w:rFonts w:ascii="Bookman Old Style" w:eastAsia="Calibri" w:hAnsi="Bookman Old Style" w:cs="Calibri"/>
          <w:lang w:val="es-ES_tradnl"/>
        </w:rPr>
      </w:pPr>
      <w:r w:rsidRPr="008F2EDE">
        <w:rPr>
          <w:rFonts w:ascii="Bookman Old Style" w:eastAsia="Calibri" w:hAnsi="Bookman Old Style" w:cs="Calibri"/>
          <w:lang w:val="es-ES_tradnl"/>
        </w:rPr>
        <w:t>La nicotina por su parte es una sustancia que genera dependencia, tolerancia y síndrome de abstinencia ante su interrupción, además, como ya se mencionó, según la OMS mata a la mitad de sus consumidores y genera distintas afectaciones a la salud. Mientras que los Opiáceos presentan facilidad para inducir farmacodependencia, lo que obliga a los médicos que los recetan, sean extremadamente cuidadosos, y no generosos en su prescripción.</w:t>
      </w:r>
      <w:r w:rsidRPr="008F2EDE">
        <w:rPr>
          <w:rStyle w:val="Refdenotaalpie"/>
          <w:rFonts w:ascii="Bookman Old Style" w:eastAsia="Calibri" w:hAnsi="Bookman Old Style" w:cs="Calibri"/>
          <w:lang w:val="es-ES_tradnl"/>
        </w:rPr>
        <w:footnoteReference w:id="90"/>
      </w:r>
    </w:p>
    <w:p w:rsidR="007E2A01" w:rsidRPr="008F2EDE" w:rsidRDefault="007E2A01" w:rsidP="007E2A01">
      <w:pPr>
        <w:jc w:val="both"/>
        <w:rPr>
          <w:rFonts w:ascii="Bookman Old Style" w:eastAsia="Calibri" w:hAnsi="Bookman Old Style" w:cs="Calibri"/>
        </w:rPr>
      </w:pPr>
    </w:p>
    <w:p w:rsidR="007E2A01" w:rsidRDefault="007E2A01" w:rsidP="007E2A01">
      <w:pPr>
        <w:jc w:val="both"/>
        <w:rPr>
          <w:rFonts w:ascii="Bookman Old Style" w:eastAsia="Calibri" w:hAnsi="Bookman Old Style" w:cs="Calibri"/>
          <w:szCs w:val="24"/>
          <w:lang w:val="es-ES_tradnl"/>
        </w:rPr>
      </w:pPr>
      <w:r w:rsidRPr="008F2EDE">
        <w:rPr>
          <w:rFonts w:ascii="Bookman Old Style" w:eastAsia="Calibri" w:hAnsi="Bookman Old Style" w:cs="Calibri"/>
        </w:rPr>
        <w:t>En lo que respecta al</w:t>
      </w:r>
      <w:r w:rsidRPr="008F2EDE">
        <w:rPr>
          <w:rFonts w:ascii="Bookman Old Style" w:eastAsia="Calibri" w:hAnsi="Bookman Old Style" w:cs="Calibri"/>
          <w:lang w:val="es-ES_tradnl"/>
        </w:rPr>
        <w:t xml:space="preserve"> Cannabis, varios autores y estudios señalan que es baja la probabilidad acumulada de desarrollar consumos problemáticos o trastornos asociados al consumo</w:t>
      </w:r>
      <w:r w:rsidRPr="008F2EDE">
        <w:rPr>
          <w:rStyle w:val="Refdenotaalpie"/>
          <w:rFonts w:ascii="Bookman Old Style" w:eastAsia="Calibri" w:hAnsi="Bookman Old Style" w:cs="Calibri"/>
          <w:lang w:val="es-ES_tradnl"/>
        </w:rPr>
        <w:footnoteReference w:id="91"/>
      </w:r>
      <w:r w:rsidRPr="008F2EDE">
        <w:rPr>
          <w:rFonts w:ascii="Bookman Old Style" w:eastAsia="Calibri" w:hAnsi="Bookman Old Style" w:cs="Calibri"/>
          <w:lang w:val="es-ES_tradnl"/>
        </w:rPr>
        <w:t>, no suele inducir tolerancia</w:t>
      </w:r>
      <w:r w:rsidRPr="008F2EDE">
        <w:rPr>
          <w:rStyle w:val="Refdenotaalpie"/>
          <w:rFonts w:ascii="Bookman Old Style" w:eastAsia="Calibri" w:hAnsi="Bookman Old Style" w:cs="Calibri"/>
          <w:lang w:val="es-ES_tradnl"/>
        </w:rPr>
        <w:footnoteReference w:id="92"/>
      </w:r>
      <w:r w:rsidRPr="008F2EDE">
        <w:rPr>
          <w:rFonts w:ascii="Bookman Old Style" w:eastAsia="Calibri" w:hAnsi="Bookman Old Style" w:cs="Calibri"/>
          <w:lang w:val="es-ES_tradnl"/>
        </w:rPr>
        <w:t xml:space="preserve"> o decantar en muerte por sobredosis. En contra posición con los ejemplos tanto lícitos como ilícitos ya</w:t>
      </w:r>
      <w:r w:rsidRPr="00B10001">
        <w:rPr>
          <w:rFonts w:ascii="Bookman Old Style" w:eastAsia="Calibri" w:hAnsi="Bookman Old Style" w:cs="Calibri"/>
          <w:lang w:val="es-ES_tradnl"/>
        </w:rPr>
        <w:t xml:space="preserve"> citados. Lo anterior aunado a sus aplicaciones en temas de salud y calidad de vida (cuidados paliativos) que hoy son una realidad</w:t>
      </w:r>
    </w:p>
    <w:p w:rsidR="007E2A01" w:rsidRDefault="007E2A01" w:rsidP="007E2A01">
      <w:pPr>
        <w:jc w:val="both"/>
        <w:rPr>
          <w:rFonts w:ascii="Bookman Old Style" w:eastAsia="Calibri" w:hAnsi="Bookman Old Style" w:cs="Calibri"/>
          <w:szCs w:val="24"/>
          <w:lang w:val="es-ES_tradnl"/>
        </w:rPr>
      </w:pPr>
    </w:p>
    <w:p w:rsidR="007E2A01" w:rsidRDefault="007E2A01" w:rsidP="007E2A01">
      <w:pPr>
        <w:jc w:val="both"/>
        <w:rPr>
          <w:rFonts w:ascii="Bookman Old Style" w:eastAsia="Calibri" w:hAnsi="Bookman Old Style" w:cs="Calibri"/>
          <w:szCs w:val="24"/>
          <w:lang w:val="es-ES_tradnl"/>
        </w:rPr>
      </w:pPr>
      <w:r>
        <w:rPr>
          <w:rFonts w:ascii="Bookman Old Style" w:eastAsia="Calibri" w:hAnsi="Bookman Old Style" w:cs="Calibri"/>
          <w:szCs w:val="24"/>
          <w:lang w:val="es-ES_tradnl"/>
        </w:rPr>
        <w:t>Se evidencia entonces que los efectos del</w:t>
      </w:r>
      <w:r w:rsidRPr="00AE7B15">
        <w:rPr>
          <w:rFonts w:ascii="Bookman Old Style" w:eastAsia="Calibri" w:hAnsi="Bookman Old Style" w:cs="Calibri"/>
          <w:szCs w:val="24"/>
          <w:lang w:val="es-ES_tradnl"/>
        </w:rPr>
        <w:t xml:space="preserve"> cannabis </w:t>
      </w:r>
      <w:r>
        <w:rPr>
          <w:rFonts w:ascii="Bookman Old Style" w:eastAsia="Calibri" w:hAnsi="Bookman Old Style" w:cs="Calibri"/>
          <w:szCs w:val="24"/>
          <w:lang w:val="es-ES_tradnl"/>
        </w:rPr>
        <w:t>no</w:t>
      </w:r>
      <w:r w:rsidRPr="00AE7B15">
        <w:rPr>
          <w:rFonts w:ascii="Bookman Old Style" w:eastAsia="Calibri" w:hAnsi="Bookman Old Style" w:cs="Calibri"/>
          <w:szCs w:val="24"/>
          <w:lang w:val="es-ES_tradnl"/>
        </w:rPr>
        <w:t xml:space="preserve"> </w:t>
      </w:r>
      <w:r>
        <w:rPr>
          <w:rFonts w:ascii="Bookman Old Style" w:eastAsia="Calibri" w:hAnsi="Bookman Old Style" w:cs="Calibri"/>
          <w:szCs w:val="24"/>
          <w:lang w:val="es-ES_tradnl"/>
        </w:rPr>
        <w:t xml:space="preserve">son </w:t>
      </w:r>
      <w:r w:rsidRPr="00AE7B15">
        <w:rPr>
          <w:rFonts w:ascii="Bookman Old Style" w:eastAsia="Calibri" w:hAnsi="Bookman Old Style" w:cs="Calibri"/>
          <w:szCs w:val="24"/>
          <w:lang w:val="es-ES_tradnl"/>
        </w:rPr>
        <w:t>más nocivos que los efectos de</w:t>
      </w:r>
      <w:r>
        <w:rPr>
          <w:rFonts w:ascii="Bookman Old Style" w:eastAsia="Calibri" w:hAnsi="Bookman Old Style" w:cs="Calibri"/>
          <w:szCs w:val="24"/>
          <w:lang w:val="es-ES_tradnl"/>
        </w:rPr>
        <w:t>l</w:t>
      </w:r>
      <w:r w:rsidRPr="00AE7B15">
        <w:rPr>
          <w:rFonts w:ascii="Bookman Old Style" w:eastAsia="Calibri" w:hAnsi="Bookman Old Style" w:cs="Calibri"/>
          <w:szCs w:val="24"/>
          <w:lang w:val="es-ES_tradnl"/>
        </w:rPr>
        <w:t xml:space="preserve"> alcohol o </w:t>
      </w:r>
      <w:r>
        <w:rPr>
          <w:rFonts w:ascii="Bookman Old Style" w:eastAsia="Calibri" w:hAnsi="Bookman Old Style" w:cs="Calibri"/>
          <w:szCs w:val="24"/>
          <w:lang w:val="es-ES_tradnl"/>
        </w:rPr>
        <w:t>del cigarrillo.</w:t>
      </w:r>
      <w:r w:rsidRPr="00AE7B15">
        <w:rPr>
          <w:rFonts w:ascii="Bookman Old Style" w:eastAsia="Calibri" w:hAnsi="Bookman Old Style" w:cs="Calibri"/>
          <w:szCs w:val="24"/>
          <w:lang w:val="es-ES_tradnl"/>
        </w:rPr>
        <w:t xml:space="preserve"> </w:t>
      </w:r>
      <w:r>
        <w:rPr>
          <w:rFonts w:ascii="Bookman Old Style" w:eastAsia="Calibri" w:hAnsi="Bookman Old Style" w:cs="Calibri"/>
          <w:szCs w:val="24"/>
          <w:lang w:val="es-ES_tradnl"/>
        </w:rPr>
        <w:t>Por el contrario,</w:t>
      </w:r>
      <w:r w:rsidRPr="00AE7B15">
        <w:rPr>
          <w:rFonts w:ascii="Bookman Old Style" w:eastAsia="Calibri" w:hAnsi="Bookman Old Style" w:cs="Calibri"/>
          <w:szCs w:val="24"/>
          <w:lang w:val="es-ES_tradnl"/>
        </w:rPr>
        <w:t xml:space="preserve"> el cannabis genera un daño</w:t>
      </w:r>
      <w:r>
        <w:rPr>
          <w:rFonts w:ascii="Bookman Old Style" w:eastAsia="Calibri" w:hAnsi="Bookman Old Style" w:cs="Calibri"/>
          <w:szCs w:val="24"/>
          <w:lang w:val="es-ES_tradnl"/>
        </w:rPr>
        <w:t xml:space="preserve"> mínimo al consumidor y hacia otros, de acuerdo a </w:t>
      </w:r>
      <w:r w:rsidRPr="00AE7B15">
        <w:rPr>
          <w:rFonts w:ascii="Bookman Old Style" w:eastAsia="Calibri" w:hAnsi="Bookman Old Style" w:cs="Calibri"/>
          <w:szCs w:val="24"/>
          <w:lang w:val="es-ES_tradnl"/>
        </w:rPr>
        <w:t>las</w:t>
      </w:r>
      <w:r w:rsidRPr="00AE7B15">
        <w:rPr>
          <w:rFonts w:ascii="Bookman Old Style" w:eastAsia="Calibri" w:hAnsi="Bookman Old Style" w:cs="Calibri"/>
          <w:i/>
          <w:szCs w:val="24"/>
          <w:lang w:val="es-ES_tradnl"/>
        </w:rPr>
        <w:t xml:space="preserve"> </w:t>
      </w:r>
      <w:r w:rsidRPr="00AE7B15">
        <w:rPr>
          <w:rFonts w:ascii="Bookman Old Style" w:eastAsia="Calibri" w:hAnsi="Bookman Old Style" w:cs="Calibri"/>
          <w:szCs w:val="24"/>
          <w:lang w:val="es-ES_tradnl"/>
        </w:rPr>
        <w:t xml:space="preserve">gráficas 1 </w:t>
      </w:r>
      <w:r>
        <w:rPr>
          <w:rFonts w:ascii="Bookman Old Style" w:eastAsia="Calibri" w:hAnsi="Bookman Old Style" w:cs="Calibri"/>
          <w:szCs w:val="24"/>
          <w:lang w:val="es-ES_tradnl"/>
        </w:rPr>
        <w:t>y 2 relacionadas en las págs. 22 y 23.</w:t>
      </w:r>
    </w:p>
    <w:p w:rsidR="007E2A01" w:rsidRPr="00AE7B15" w:rsidRDefault="007E2A01" w:rsidP="007E2A01">
      <w:pPr>
        <w:jc w:val="both"/>
        <w:rPr>
          <w:rFonts w:ascii="Bookman Old Style" w:eastAsia="Calibri" w:hAnsi="Bookman Old Style" w:cs="Calibri"/>
          <w:szCs w:val="24"/>
          <w:lang w:val="es-ES_tradnl"/>
        </w:rPr>
      </w:pPr>
    </w:p>
    <w:p w:rsidR="007E2A01" w:rsidRPr="00AE7B15" w:rsidRDefault="007E2A01" w:rsidP="007E2A01">
      <w:pPr>
        <w:jc w:val="both"/>
        <w:rPr>
          <w:rFonts w:ascii="Bookman Old Style" w:eastAsia="Calibri" w:hAnsi="Bookman Old Style" w:cs="Calibri"/>
          <w:bCs/>
          <w:i/>
          <w:iCs/>
          <w:szCs w:val="24"/>
          <w:lang w:val="es-ES_tradnl"/>
        </w:rPr>
      </w:pPr>
      <w:r w:rsidRPr="00AE7B15">
        <w:rPr>
          <w:rFonts w:ascii="Bookman Old Style" w:eastAsia="Calibri" w:hAnsi="Bookman Old Style" w:cs="Calibri"/>
          <w:szCs w:val="24"/>
          <w:lang w:val="es-ES_tradnl"/>
        </w:rPr>
        <w:t xml:space="preserve">De acuerdo a lo expuesto es necesario ser claros respecto a que el presente Proyecto de Acto Legislativo exclusivamente busca la regularización del uso </w:t>
      </w:r>
      <w:r>
        <w:rPr>
          <w:rFonts w:ascii="Bookman Old Style" w:eastAsia="Calibri" w:hAnsi="Bookman Old Style" w:cs="Calibri"/>
          <w:szCs w:val="24"/>
          <w:lang w:val="es-ES_tradnl"/>
        </w:rPr>
        <w:t>adulto</w:t>
      </w:r>
      <w:r w:rsidRPr="00AE7B15">
        <w:rPr>
          <w:rFonts w:ascii="Bookman Old Style" w:eastAsia="Calibri" w:hAnsi="Bookman Old Style" w:cs="Calibri"/>
          <w:szCs w:val="24"/>
          <w:lang w:val="es-ES_tradnl"/>
        </w:rPr>
        <w:t xml:space="preserve"> del cannabis. Sustancias como la cocaína, el </w:t>
      </w:r>
      <w:r w:rsidRPr="00AE7B15">
        <w:rPr>
          <w:rFonts w:ascii="Bookman Old Style" w:eastAsia="Calibri" w:hAnsi="Bookman Old Style" w:cs="Calibri"/>
          <w:szCs w:val="24"/>
        </w:rPr>
        <w:t>hachís, los derivados de la amapola y la droga sintética deben continuar bajo la normativa actual.</w:t>
      </w:r>
    </w:p>
    <w:p w:rsidR="007E2A01" w:rsidRPr="00AE7B15" w:rsidRDefault="007E2A01" w:rsidP="007E2A01">
      <w:pPr>
        <w:jc w:val="both"/>
        <w:rPr>
          <w:rFonts w:ascii="Bookman Old Style" w:eastAsia="Calibri" w:hAnsi="Bookman Old Style" w:cs="Calibri"/>
          <w:szCs w:val="24"/>
          <w:lang w:val="es-ES_tradnl"/>
        </w:rPr>
      </w:pPr>
    </w:p>
    <w:p w:rsidR="007E2A01" w:rsidRPr="00AE7B15" w:rsidRDefault="007E2A01" w:rsidP="007E2A01">
      <w:pPr>
        <w:jc w:val="both"/>
        <w:rPr>
          <w:rFonts w:ascii="Bookman Old Style" w:eastAsia="Calibri" w:hAnsi="Bookman Old Style" w:cs="Calibri"/>
          <w:szCs w:val="24"/>
          <w:lang w:val="es-ES_tradnl"/>
        </w:rPr>
      </w:pPr>
      <w:r w:rsidRPr="00AE7B15">
        <w:rPr>
          <w:rFonts w:ascii="Bookman Old Style" w:eastAsia="Calibri" w:hAnsi="Bookman Old Style" w:cs="Calibri"/>
          <w:szCs w:val="24"/>
          <w:lang w:val="es-ES_tradnl"/>
        </w:rPr>
        <w:lastRenderedPageBreak/>
        <w:t xml:space="preserve">En consecuencia, y considerando además que: </w:t>
      </w:r>
    </w:p>
    <w:p w:rsidR="007E2A01" w:rsidRPr="00AE7B15" w:rsidRDefault="007E2A01" w:rsidP="007E2A01">
      <w:pPr>
        <w:jc w:val="both"/>
        <w:rPr>
          <w:rFonts w:ascii="Bookman Old Style" w:eastAsia="Calibri" w:hAnsi="Bookman Old Style" w:cs="Calibri"/>
          <w:szCs w:val="24"/>
          <w:lang w:val="es-ES_tradnl"/>
        </w:rPr>
      </w:pPr>
    </w:p>
    <w:p w:rsidR="007E2A01" w:rsidRDefault="007E2A01" w:rsidP="007E2A01">
      <w:pPr>
        <w:pStyle w:val="Prrafodelista"/>
        <w:numPr>
          <w:ilvl w:val="0"/>
          <w:numId w:val="34"/>
        </w:numPr>
        <w:jc w:val="both"/>
        <w:rPr>
          <w:rFonts w:ascii="Bookman Old Style" w:eastAsia="Calibri" w:hAnsi="Bookman Old Style" w:cs="Calibri"/>
          <w:szCs w:val="24"/>
          <w:lang w:val="es-ES_tradnl"/>
        </w:rPr>
      </w:pPr>
      <w:r w:rsidRPr="00AE7B15">
        <w:rPr>
          <w:rFonts w:ascii="Bookman Old Style" w:eastAsia="Calibri" w:hAnsi="Bookman Old Style" w:cs="Calibri"/>
          <w:szCs w:val="24"/>
          <w:lang w:val="es-ES_tradnl"/>
        </w:rPr>
        <w:t xml:space="preserve">Colombia cuenta con una legislación vigente que reglamenta de forma idónea y eficaz el cultivo, la transformación, la comercialización y exportación del cannabis de uso medicinal que bien podría extenderse al </w:t>
      </w:r>
      <w:r>
        <w:rPr>
          <w:rFonts w:ascii="Bookman Old Style" w:eastAsia="Calibri" w:hAnsi="Bookman Old Style" w:cs="Calibri"/>
          <w:szCs w:val="24"/>
          <w:lang w:val="es-ES_tradnl"/>
        </w:rPr>
        <w:t>adulto</w:t>
      </w:r>
      <w:r w:rsidRPr="00AE7B15">
        <w:rPr>
          <w:rFonts w:ascii="Bookman Old Style" w:eastAsia="Calibri" w:hAnsi="Bookman Old Style" w:cs="Calibri"/>
          <w:szCs w:val="24"/>
          <w:lang w:val="es-ES_tradnl"/>
        </w:rPr>
        <w:t xml:space="preserve"> sin inconvenientes</w:t>
      </w:r>
      <w:r>
        <w:rPr>
          <w:rFonts w:ascii="Bookman Old Style" w:eastAsia="Calibri" w:hAnsi="Bookman Old Style" w:cs="Calibri"/>
          <w:szCs w:val="24"/>
          <w:lang w:val="es-ES_tradnl"/>
        </w:rPr>
        <w:t>;</w:t>
      </w:r>
    </w:p>
    <w:p w:rsidR="007E2A01" w:rsidRPr="00AE7B15" w:rsidRDefault="007E2A01" w:rsidP="007E2A01">
      <w:pPr>
        <w:pStyle w:val="Prrafodelista"/>
        <w:jc w:val="both"/>
        <w:rPr>
          <w:rFonts w:ascii="Bookman Old Style" w:eastAsia="Calibri" w:hAnsi="Bookman Old Style" w:cs="Calibri"/>
          <w:szCs w:val="24"/>
          <w:lang w:val="es-ES_tradnl"/>
        </w:rPr>
      </w:pPr>
      <w:r w:rsidRPr="00AE7B15">
        <w:rPr>
          <w:rFonts w:ascii="Bookman Old Style" w:eastAsia="Calibri" w:hAnsi="Bookman Old Style" w:cs="Calibri"/>
          <w:szCs w:val="24"/>
          <w:lang w:val="es-ES_tradnl"/>
        </w:rPr>
        <w:t xml:space="preserve"> </w:t>
      </w:r>
    </w:p>
    <w:p w:rsidR="007E2A01" w:rsidRDefault="007E2A01" w:rsidP="007E2A01">
      <w:pPr>
        <w:pStyle w:val="Prrafodelista"/>
        <w:numPr>
          <w:ilvl w:val="0"/>
          <w:numId w:val="34"/>
        </w:numPr>
        <w:jc w:val="both"/>
        <w:rPr>
          <w:rFonts w:ascii="Bookman Old Style" w:eastAsia="Calibri" w:hAnsi="Bookman Old Style" w:cs="Calibri"/>
          <w:szCs w:val="24"/>
          <w:lang w:val="es-ES_tradnl"/>
        </w:rPr>
      </w:pPr>
      <w:r w:rsidRPr="00AE7B15">
        <w:rPr>
          <w:rFonts w:ascii="Bookman Old Style" w:eastAsia="Calibri" w:hAnsi="Bookman Old Style" w:cs="Calibri"/>
          <w:szCs w:val="24"/>
          <w:lang w:val="es-ES_tradnl"/>
        </w:rPr>
        <w:t xml:space="preserve">Existe una tendencia creciente en el ámbito internacional de reglamentar y permitir el uso </w:t>
      </w:r>
      <w:r>
        <w:rPr>
          <w:rFonts w:ascii="Bookman Old Style" w:eastAsia="Calibri" w:hAnsi="Bookman Old Style" w:cs="Calibri"/>
          <w:szCs w:val="24"/>
          <w:lang w:val="es-ES_tradnl"/>
        </w:rPr>
        <w:t>adulto</w:t>
      </w:r>
      <w:r w:rsidRPr="00AE7B15">
        <w:rPr>
          <w:rFonts w:ascii="Bookman Old Style" w:eastAsia="Calibri" w:hAnsi="Bookman Old Style" w:cs="Calibri"/>
          <w:szCs w:val="24"/>
          <w:lang w:val="es-ES_tradnl"/>
        </w:rPr>
        <w:t xml:space="preserve"> del cannabis</w:t>
      </w:r>
      <w:r>
        <w:rPr>
          <w:rFonts w:ascii="Bookman Old Style" w:eastAsia="Calibri" w:hAnsi="Bookman Old Style" w:cs="Calibri"/>
          <w:szCs w:val="24"/>
          <w:lang w:val="es-ES_tradnl"/>
        </w:rPr>
        <w:t>;</w:t>
      </w:r>
    </w:p>
    <w:p w:rsidR="007E2A01" w:rsidRPr="00AE7B15" w:rsidRDefault="007E2A01" w:rsidP="007E2A01">
      <w:pPr>
        <w:pStyle w:val="Prrafodelista"/>
        <w:jc w:val="both"/>
        <w:rPr>
          <w:rFonts w:ascii="Bookman Old Style" w:eastAsia="Calibri" w:hAnsi="Bookman Old Style" w:cs="Calibri"/>
          <w:szCs w:val="24"/>
          <w:lang w:val="es-ES_tradnl"/>
        </w:rPr>
      </w:pPr>
    </w:p>
    <w:p w:rsidR="007E2A01" w:rsidRPr="00AE7B15" w:rsidRDefault="007E2A01" w:rsidP="007E2A01">
      <w:pPr>
        <w:pStyle w:val="Prrafodelista"/>
        <w:numPr>
          <w:ilvl w:val="0"/>
          <w:numId w:val="34"/>
        </w:numPr>
        <w:jc w:val="both"/>
        <w:rPr>
          <w:rFonts w:ascii="Bookman Old Style" w:eastAsia="Calibri" w:hAnsi="Bookman Old Style" w:cs="Calibri"/>
          <w:szCs w:val="24"/>
          <w:lang w:val="es-ES_tradnl"/>
        </w:rPr>
      </w:pPr>
      <w:r w:rsidRPr="00AE7B15">
        <w:rPr>
          <w:rFonts w:ascii="Bookman Old Style" w:eastAsia="Calibri" w:hAnsi="Bookman Old Style" w:cs="Calibri"/>
          <w:szCs w:val="24"/>
          <w:lang w:val="es-ES_tradnl"/>
        </w:rPr>
        <w:t>Se está consolidando un nuevo mercado a nivel mundial que está generando ganancias.</w:t>
      </w:r>
    </w:p>
    <w:p w:rsidR="007E2A01" w:rsidRDefault="007E2A01" w:rsidP="007E2A01">
      <w:pPr>
        <w:jc w:val="both"/>
        <w:rPr>
          <w:rFonts w:ascii="Bookman Old Style" w:eastAsia="Calibri" w:hAnsi="Bookman Old Style" w:cs="Calibri"/>
          <w:szCs w:val="24"/>
          <w:lang w:val="es-ES_tradnl"/>
        </w:rPr>
      </w:pPr>
      <w:r w:rsidRPr="009718AC">
        <w:rPr>
          <w:rFonts w:ascii="Bookman Old Style" w:eastAsia="Calibri" w:hAnsi="Bookman Old Style" w:cs="Calibri"/>
          <w:szCs w:val="24"/>
          <w:lang w:val="es-ES_tradnl"/>
        </w:rPr>
        <w:t xml:space="preserve">Se puede afirmar entonces que es viable y positivo regularizar el cannabis para su uso </w:t>
      </w:r>
      <w:r>
        <w:rPr>
          <w:rFonts w:ascii="Bookman Old Style" w:eastAsia="Calibri" w:hAnsi="Bookman Old Style" w:cs="Calibri"/>
          <w:szCs w:val="24"/>
          <w:lang w:val="es-ES_tradnl"/>
        </w:rPr>
        <w:t>adulto</w:t>
      </w:r>
      <w:r w:rsidRPr="009718AC">
        <w:rPr>
          <w:rFonts w:ascii="Bookman Old Style" w:eastAsia="Calibri" w:hAnsi="Bookman Old Style" w:cs="Calibri"/>
          <w:szCs w:val="24"/>
          <w:lang w:val="es-ES_tradnl"/>
        </w:rPr>
        <w:t>.</w:t>
      </w:r>
    </w:p>
    <w:p w:rsidR="007E2A01" w:rsidRDefault="007E2A01" w:rsidP="007E2A01">
      <w:pPr>
        <w:jc w:val="both"/>
        <w:rPr>
          <w:rFonts w:ascii="Bookman Old Style" w:eastAsia="Calibri" w:hAnsi="Bookman Old Style" w:cs="Calibri"/>
          <w:szCs w:val="24"/>
          <w:lang w:val="es-ES_tradnl"/>
        </w:rPr>
      </w:pPr>
    </w:p>
    <w:p w:rsidR="007E2A01" w:rsidRPr="00AE7B15" w:rsidRDefault="007E2A01" w:rsidP="007E2A01">
      <w:pPr>
        <w:jc w:val="both"/>
        <w:rPr>
          <w:rFonts w:ascii="Bookman Old Style" w:eastAsia="Calibri" w:hAnsi="Bookman Old Style" w:cs="Calibri"/>
          <w:szCs w:val="24"/>
          <w:lang w:val="es-ES_tradnl"/>
        </w:rPr>
      </w:pPr>
      <w:r w:rsidRPr="00AE7B15">
        <w:rPr>
          <w:rFonts w:ascii="Bookman Old Style" w:eastAsia="Calibri" w:hAnsi="Bookman Old Style" w:cs="Calibri"/>
          <w:szCs w:val="24"/>
          <w:lang w:val="es-ES_tradnl"/>
        </w:rPr>
        <w:t xml:space="preserve">Sobre este asunto es pertinente traer a colación los estudios realizados por Dejusticia, que señalan que existen tres tipos de consumo, a saber: 1) cotidiano, 2) habitual y 3) problemático. Según las experiencias de Uruguay, Canadá y Estados Unidos, países en los que se reguló la producción y la comercialización de cannabis </w:t>
      </w:r>
      <w:r>
        <w:rPr>
          <w:rFonts w:ascii="Bookman Old Style" w:eastAsia="Calibri" w:hAnsi="Bookman Old Style" w:cs="Calibri"/>
          <w:szCs w:val="24"/>
          <w:lang w:val="es-ES_tradnl"/>
        </w:rPr>
        <w:t>adulto</w:t>
      </w:r>
      <w:r w:rsidRPr="00AE7B15">
        <w:rPr>
          <w:rFonts w:ascii="Bookman Old Style" w:eastAsia="Calibri" w:hAnsi="Bookman Old Style" w:cs="Calibri"/>
          <w:szCs w:val="24"/>
          <w:lang w:val="es-ES_tradnl"/>
        </w:rPr>
        <w:t xml:space="preserve">, de los distintos tipos de consumo, solo el problemático requiere un tratamiento. </w:t>
      </w:r>
    </w:p>
    <w:p w:rsidR="007E2A01" w:rsidRPr="00AE7B15" w:rsidRDefault="007E2A01" w:rsidP="007E2A01">
      <w:pPr>
        <w:jc w:val="both"/>
        <w:rPr>
          <w:rFonts w:ascii="Bookman Old Style" w:eastAsia="Calibri" w:hAnsi="Bookman Old Style" w:cs="Calibri"/>
          <w:szCs w:val="24"/>
          <w:lang w:val="es-ES_tradnl"/>
        </w:rPr>
      </w:pPr>
    </w:p>
    <w:p w:rsidR="007E2A01" w:rsidRPr="00AE7B15" w:rsidRDefault="007E2A01" w:rsidP="007E2A01">
      <w:pPr>
        <w:jc w:val="both"/>
        <w:rPr>
          <w:rFonts w:ascii="Bookman Old Style" w:eastAsia="Calibri" w:hAnsi="Bookman Old Style" w:cs="Calibri"/>
          <w:szCs w:val="24"/>
          <w:lang w:val="es-ES_tradnl"/>
        </w:rPr>
      </w:pPr>
      <w:r w:rsidRPr="00AE7B15">
        <w:rPr>
          <w:rFonts w:ascii="Bookman Old Style" w:eastAsia="Calibri" w:hAnsi="Bookman Old Style" w:cs="Calibri"/>
          <w:szCs w:val="24"/>
          <w:lang w:val="es-ES_tradnl"/>
        </w:rPr>
        <w:t>Aunado a lo anterior y de acuerdo al Informe Mundial Sobre las Drogas 2018 de la Oficina de las Naciones Unidas contra la Droga y el Delito, solo el 11,27% de la totalidad de consumidores de drogas presentan este tipo de consumo.</w:t>
      </w:r>
    </w:p>
    <w:p w:rsidR="007E2A01" w:rsidRPr="00AE7B15" w:rsidRDefault="007E2A01" w:rsidP="007E2A01">
      <w:pPr>
        <w:jc w:val="both"/>
        <w:rPr>
          <w:rFonts w:ascii="Bookman Old Style" w:eastAsia="Calibri" w:hAnsi="Bookman Old Style" w:cs="Calibri"/>
          <w:szCs w:val="24"/>
          <w:lang w:val="es-ES_tradnl"/>
        </w:rPr>
      </w:pPr>
    </w:p>
    <w:p w:rsidR="007E2A01" w:rsidRPr="00AE7B15" w:rsidRDefault="007E2A01" w:rsidP="007E2A01">
      <w:pPr>
        <w:jc w:val="both"/>
        <w:rPr>
          <w:rFonts w:ascii="Bookman Old Style" w:eastAsia="Calibri" w:hAnsi="Bookman Old Style" w:cs="Calibri"/>
          <w:szCs w:val="24"/>
          <w:lang w:val="es-ES_tradnl"/>
        </w:rPr>
      </w:pPr>
      <w:r w:rsidRPr="00AE7B15">
        <w:rPr>
          <w:rFonts w:ascii="Bookman Old Style" w:eastAsia="Calibri" w:hAnsi="Bookman Old Style" w:cs="Calibri"/>
          <w:szCs w:val="24"/>
          <w:lang w:val="es-ES_tradnl"/>
        </w:rPr>
        <w:t>En el mismo sentido, Dejusticia trae a colación las cifras reportadas por la DEA que demuestran la cantidad de muertes directas por el consumo de drogas en Estados Unidos.</w:t>
      </w:r>
      <w:r w:rsidRPr="00AE7B15">
        <w:rPr>
          <w:rStyle w:val="Refdenotaalpie"/>
          <w:rFonts w:ascii="Bookman Old Style" w:eastAsia="Calibri" w:hAnsi="Bookman Old Style" w:cs="Calibri"/>
          <w:szCs w:val="24"/>
          <w:lang w:val="es-ES_tradnl"/>
        </w:rPr>
        <w:footnoteReference w:id="93"/>
      </w:r>
      <w:r w:rsidRPr="00AE7B15">
        <w:rPr>
          <w:rFonts w:ascii="Bookman Old Style" w:eastAsia="Calibri" w:hAnsi="Bookman Old Style" w:cs="Calibri"/>
          <w:szCs w:val="24"/>
          <w:lang w:val="es-ES_tradnl"/>
        </w:rPr>
        <w:t xml:space="preserve"> Su principal conclusión es que la droga más mortal, es el tabaco. Así como no se reporta ninguna muerte por el consumo de cannabis.</w:t>
      </w:r>
    </w:p>
    <w:p w:rsidR="007E2A01" w:rsidRPr="00AE7B15" w:rsidRDefault="007E2A01" w:rsidP="007E2A01">
      <w:pPr>
        <w:jc w:val="both"/>
        <w:rPr>
          <w:rFonts w:ascii="Bookman Old Style" w:eastAsia="Calibri" w:hAnsi="Bookman Old Style" w:cs="Calibri"/>
          <w:bCs/>
          <w:szCs w:val="24"/>
          <w:lang w:val="es-ES_tradnl"/>
        </w:rPr>
      </w:pPr>
    </w:p>
    <w:p w:rsidR="007E2A01" w:rsidRPr="00485CC5" w:rsidRDefault="007E2A01" w:rsidP="007E2A01">
      <w:pPr>
        <w:jc w:val="both"/>
        <w:rPr>
          <w:rFonts w:ascii="Bookman Old Style" w:eastAsia="Calibri" w:hAnsi="Bookman Old Style" w:cs="Calibri"/>
          <w:szCs w:val="24"/>
          <w:lang w:val="es-ES_tradnl"/>
        </w:rPr>
      </w:pPr>
      <w:r w:rsidRPr="00AE7B15">
        <w:rPr>
          <w:rFonts w:ascii="Bookman Old Style" w:eastAsia="Calibri" w:hAnsi="Bookman Old Style" w:cs="Calibri"/>
          <w:bCs/>
          <w:szCs w:val="24"/>
          <w:lang w:val="es-ES_tradnl"/>
        </w:rPr>
        <w:t xml:space="preserve">Lo anterior no implica que no vayan a ser penalizadas las conductas delictivas cometidas por los consumidores de cannabis, </w:t>
      </w:r>
      <w:r w:rsidRPr="00AE7B15">
        <w:rPr>
          <w:rFonts w:ascii="Bookman Old Style" w:eastAsia="Calibri" w:hAnsi="Bookman Old Style" w:cs="Calibri"/>
          <w:szCs w:val="24"/>
          <w:lang w:val="es-ES_tradnl"/>
        </w:rPr>
        <w:t>como conducir bajo los efectos de la marihuana o del alcohol, se les penalizará por las conductas que realicen que atenten contra bienes jurídicos, y no por el hecho de ser consumidores.</w:t>
      </w:r>
    </w:p>
    <w:p w:rsidR="007E2A01" w:rsidRPr="00485CC5" w:rsidRDefault="007E2A01" w:rsidP="007E2A01">
      <w:pPr>
        <w:jc w:val="both"/>
        <w:rPr>
          <w:rFonts w:ascii="Bookman Old Style" w:eastAsia="Calibri" w:hAnsi="Bookman Old Style" w:cs="Calibri"/>
          <w:szCs w:val="24"/>
          <w:lang w:val="es-ES_tradnl"/>
        </w:rPr>
      </w:pPr>
    </w:p>
    <w:p w:rsidR="007E2A01" w:rsidRPr="00485CC5" w:rsidRDefault="007E2A01" w:rsidP="007E2A01">
      <w:pPr>
        <w:jc w:val="both"/>
        <w:rPr>
          <w:rFonts w:ascii="Bookman Old Style" w:eastAsia="Calibri" w:hAnsi="Bookman Old Style" w:cs="Calibri"/>
          <w:b/>
          <w:szCs w:val="24"/>
          <w:lang w:val="es-ES_tradnl"/>
        </w:rPr>
      </w:pPr>
      <w:r>
        <w:rPr>
          <w:rFonts w:ascii="Bookman Old Style" w:eastAsia="Calibri" w:hAnsi="Bookman Old Style" w:cs="Calibri"/>
          <w:b/>
          <w:szCs w:val="24"/>
          <w:lang w:val="es-ES_tradnl"/>
        </w:rPr>
        <w:t>7</w:t>
      </w:r>
      <w:r w:rsidRPr="00485CC5">
        <w:rPr>
          <w:rFonts w:ascii="Bookman Old Style" w:eastAsia="Calibri" w:hAnsi="Bookman Old Style" w:cs="Calibri"/>
          <w:b/>
          <w:szCs w:val="24"/>
          <w:lang w:val="es-ES_tradnl"/>
        </w:rPr>
        <w:t>.</w:t>
      </w:r>
      <w:r>
        <w:rPr>
          <w:rFonts w:ascii="Bookman Old Style" w:eastAsia="Calibri" w:hAnsi="Bookman Old Style" w:cs="Calibri"/>
          <w:b/>
          <w:szCs w:val="24"/>
          <w:lang w:val="es-ES_tradnl"/>
        </w:rPr>
        <w:t>2</w:t>
      </w:r>
      <w:r w:rsidRPr="00485CC5">
        <w:rPr>
          <w:rFonts w:ascii="Bookman Old Style" w:eastAsia="Calibri" w:hAnsi="Bookman Old Style" w:cs="Calibri"/>
          <w:b/>
          <w:szCs w:val="24"/>
          <w:lang w:val="es-ES_tradnl"/>
        </w:rPr>
        <w:t>.3 JUICIO INTEGRADO DE IGUALDAD</w:t>
      </w:r>
    </w:p>
    <w:p w:rsidR="007E2A01" w:rsidRPr="00485CC5" w:rsidRDefault="007E2A01" w:rsidP="007E2A01">
      <w:pPr>
        <w:jc w:val="both"/>
        <w:rPr>
          <w:rFonts w:ascii="Bookman Old Style" w:eastAsia="Calibri" w:hAnsi="Bookman Old Style" w:cs="Calibri"/>
          <w:szCs w:val="24"/>
          <w:lang w:val="es-ES_tradnl"/>
        </w:rPr>
      </w:pPr>
    </w:p>
    <w:p w:rsidR="007E2A01" w:rsidRPr="00485CC5" w:rsidRDefault="007E2A01" w:rsidP="007E2A01">
      <w:pPr>
        <w:jc w:val="both"/>
        <w:rPr>
          <w:rFonts w:ascii="Bookman Old Style" w:eastAsia="Calibri" w:hAnsi="Bookman Old Style" w:cs="Calibri"/>
          <w:szCs w:val="24"/>
          <w:lang w:val="es-ES_tradnl"/>
        </w:rPr>
      </w:pPr>
      <w:r>
        <w:rPr>
          <w:rFonts w:ascii="Bookman Old Style" w:eastAsia="Calibri" w:hAnsi="Bookman Old Style" w:cs="Calibri"/>
          <w:szCs w:val="24"/>
          <w:lang w:val="es-ES_tradnl"/>
        </w:rPr>
        <w:t>De conformidad con los capítulos anteriormente expuestos e</w:t>
      </w:r>
      <w:r w:rsidRPr="00485CC5">
        <w:rPr>
          <w:rFonts w:ascii="Bookman Old Style" w:eastAsia="Calibri" w:hAnsi="Bookman Old Style" w:cs="Calibri"/>
          <w:szCs w:val="24"/>
          <w:lang w:val="es-ES_tradnl"/>
        </w:rPr>
        <w:t xml:space="preserve">s posible concluir entonces que, en el caso del cannabis, la prohibición actual es desproporcionada y deriva necesariamente en una afectación a derechos constitucionales que no se encuentra soportada por la protección a otro interés constitucional, como la salud pública. </w:t>
      </w:r>
    </w:p>
    <w:p w:rsidR="007E2A01" w:rsidRPr="00485CC5" w:rsidRDefault="007E2A01" w:rsidP="007E2A01">
      <w:pPr>
        <w:jc w:val="both"/>
        <w:rPr>
          <w:rFonts w:ascii="Bookman Old Style" w:eastAsia="Calibri" w:hAnsi="Bookman Old Style" w:cs="Calibri"/>
          <w:szCs w:val="24"/>
          <w:lang w:val="es-ES_tradnl"/>
        </w:rPr>
      </w:pPr>
    </w:p>
    <w:p w:rsidR="007E2A01" w:rsidRPr="00485CC5" w:rsidRDefault="007E2A01" w:rsidP="007E2A01">
      <w:pPr>
        <w:jc w:val="both"/>
        <w:rPr>
          <w:rFonts w:ascii="Bookman Old Style" w:eastAsia="Calibri" w:hAnsi="Bookman Old Style" w:cs="Calibri"/>
          <w:szCs w:val="24"/>
          <w:lang w:val="es-ES_tradnl"/>
        </w:rPr>
      </w:pPr>
      <w:r>
        <w:rPr>
          <w:rFonts w:ascii="Bookman Old Style" w:eastAsia="Calibri" w:hAnsi="Bookman Old Style" w:cs="Calibri"/>
          <w:szCs w:val="24"/>
          <w:lang w:val="es-ES_tradnl"/>
        </w:rPr>
        <w:t>Como argumento adicional</w:t>
      </w:r>
      <w:r w:rsidRPr="00485CC5">
        <w:rPr>
          <w:rFonts w:ascii="Bookman Old Style" w:eastAsia="Calibri" w:hAnsi="Bookman Old Style" w:cs="Calibri"/>
          <w:szCs w:val="24"/>
          <w:lang w:val="es-ES_tradnl"/>
        </w:rPr>
        <w:t xml:space="preserve">, </w:t>
      </w:r>
      <w:r>
        <w:rPr>
          <w:rFonts w:ascii="Bookman Old Style" w:eastAsia="Calibri" w:hAnsi="Bookman Old Style" w:cs="Calibri"/>
          <w:szCs w:val="24"/>
          <w:lang w:val="es-ES_tradnl"/>
        </w:rPr>
        <w:t>se considera procedente</w:t>
      </w:r>
      <w:r w:rsidRPr="00485CC5">
        <w:rPr>
          <w:rFonts w:ascii="Bookman Old Style" w:eastAsia="Calibri" w:hAnsi="Bookman Old Style" w:cs="Calibri"/>
          <w:szCs w:val="24"/>
          <w:lang w:val="es-ES_tradnl"/>
        </w:rPr>
        <w:t xml:space="preserve"> realizar un juicio integrado de </w:t>
      </w:r>
      <w:r w:rsidRPr="00485CC5">
        <w:rPr>
          <w:rFonts w:ascii="Bookman Old Style" w:eastAsia="Calibri" w:hAnsi="Bookman Old Style" w:cs="Calibri"/>
          <w:szCs w:val="24"/>
          <w:lang w:val="es-ES_tradnl"/>
        </w:rPr>
        <w:lastRenderedPageBreak/>
        <w:t>igualdad, en los términos fijados por la Corte Constitucional, en amplia línea jurisprudencial entre la que se resalta la sentencia C- 093 de 2001. Este análisis parte de la combinación del modelo europeo con el modelo norteamericano</w:t>
      </w:r>
      <w:r w:rsidRPr="00485CC5">
        <w:rPr>
          <w:rStyle w:val="Refdenotaalpie"/>
          <w:rFonts w:ascii="Bookman Old Style" w:eastAsia="Calibri" w:hAnsi="Bookman Old Style" w:cs="Calibri"/>
          <w:szCs w:val="24"/>
          <w:lang w:val="es-ES_tradnl"/>
        </w:rPr>
        <w:footnoteReference w:id="94"/>
      </w:r>
      <w:r w:rsidRPr="00485CC5">
        <w:rPr>
          <w:rFonts w:ascii="Bookman Old Style" w:eastAsia="Calibri" w:hAnsi="Bookman Old Style" w:cs="Calibri"/>
          <w:szCs w:val="24"/>
          <w:lang w:val="es-ES_tradnl"/>
        </w:rPr>
        <w:t xml:space="preserve"> que permite realizar el estudio de adecuación, idoneidad y proporcionalidad de la medida, utilizado además los criterios brindados por el test de igualdad estadounidense, con el fin de realizar un análisis de igualdad de diferente intensidad, dependiendo de si se está ante el caso de un test estricto, intermedio o flexible.</w:t>
      </w:r>
      <w:r w:rsidRPr="00485CC5">
        <w:rPr>
          <w:rStyle w:val="Refdenotaalpie"/>
          <w:rFonts w:ascii="Bookman Old Style" w:eastAsia="Calibri" w:hAnsi="Bookman Old Style" w:cs="Calibri"/>
          <w:szCs w:val="24"/>
          <w:lang w:val="es-ES_tradnl"/>
        </w:rPr>
        <w:footnoteReference w:id="95"/>
      </w:r>
    </w:p>
    <w:p w:rsidR="007E2A01" w:rsidRPr="00485CC5" w:rsidRDefault="007E2A01" w:rsidP="007E2A01">
      <w:pPr>
        <w:jc w:val="both"/>
        <w:rPr>
          <w:rFonts w:ascii="Bookman Old Style" w:eastAsia="Calibri" w:hAnsi="Bookman Old Style" w:cs="Calibri"/>
          <w:szCs w:val="24"/>
          <w:lang w:val="es-ES_tradnl"/>
        </w:rPr>
      </w:pPr>
    </w:p>
    <w:p w:rsidR="007E2A01" w:rsidRPr="00485CC5" w:rsidRDefault="007E2A01" w:rsidP="007E2A01">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La realizaci</w:t>
      </w:r>
      <w:r>
        <w:rPr>
          <w:rFonts w:ascii="Bookman Old Style" w:eastAsia="Calibri" w:hAnsi="Bookman Old Style" w:cs="Calibri"/>
          <w:szCs w:val="24"/>
          <w:lang w:val="es-ES_tradnl"/>
        </w:rPr>
        <w:t xml:space="preserve">ón del test permitirá verificar: </w:t>
      </w:r>
      <w:r w:rsidRPr="00485CC5">
        <w:rPr>
          <w:rFonts w:ascii="Bookman Old Style" w:eastAsia="Calibri" w:hAnsi="Bookman Old Style" w:cs="Calibri"/>
          <w:i/>
          <w:szCs w:val="24"/>
          <w:lang w:val="es-ES_tradnl"/>
        </w:rPr>
        <w:t>“(i) el establecimiento de una serie de medidas que tienen por finalidad la consecución de un objetivo constitucionalmente admisible, deseable o válido; (ii) la correlativa afectación que con la adopción de este tipo de medidas se puede generar; y (iii) la necesidad que existe de incurrir en dicha afectación, así como la imposibilidad de lograr esa finalidad por otros medios menos lesivos.”</w:t>
      </w:r>
      <w:r w:rsidRPr="00485CC5">
        <w:rPr>
          <w:rStyle w:val="Refdenotaalpie"/>
          <w:rFonts w:ascii="Bookman Old Style" w:eastAsia="Calibri" w:hAnsi="Bookman Old Style" w:cs="Calibri"/>
          <w:i/>
          <w:szCs w:val="24"/>
          <w:lang w:val="es-ES_tradnl"/>
        </w:rPr>
        <w:footnoteReference w:id="96"/>
      </w:r>
      <w:r w:rsidRPr="00485CC5">
        <w:rPr>
          <w:rFonts w:ascii="Bookman Old Style" w:eastAsia="Calibri" w:hAnsi="Bookman Old Style" w:cs="Calibri"/>
          <w:i/>
          <w:szCs w:val="24"/>
          <w:lang w:val="es-ES_tradnl"/>
        </w:rPr>
        <w:t xml:space="preserve"> </w:t>
      </w:r>
      <w:r w:rsidRPr="00485CC5">
        <w:rPr>
          <w:rFonts w:ascii="Bookman Old Style" w:eastAsia="Calibri" w:hAnsi="Bookman Old Style" w:cs="Calibri"/>
          <w:szCs w:val="24"/>
          <w:lang w:val="es-ES_tradnl"/>
        </w:rPr>
        <w:t>Todo esto con el fin de verificar si la medida implementada afecta, o no, en forma desmedida o excesiva, derechos o intereses jurídicos de alta envergadura.</w:t>
      </w:r>
      <w:r w:rsidRPr="00485CC5">
        <w:rPr>
          <w:rStyle w:val="Refdenotaalpie"/>
          <w:rFonts w:ascii="Bookman Old Style" w:eastAsia="Calibri" w:hAnsi="Bookman Old Style" w:cs="Calibri"/>
          <w:szCs w:val="24"/>
          <w:lang w:val="es-ES_tradnl"/>
        </w:rPr>
        <w:footnoteReference w:id="97"/>
      </w:r>
    </w:p>
    <w:p w:rsidR="007E2A01" w:rsidRPr="00485CC5" w:rsidRDefault="007E2A01" w:rsidP="007E2A01">
      <w:pPr>
        <w:jc w:val="both"/>
        <w:rPr>
          <w:rFonts w:ascii="Bookman Old Style" w:eastAsia="Calibri" w:hAnsi="Bookman Old Style" w:cs="Calibri"/>
          <w:szCs w:val="24"/>
          <w:lang w:val="es-ES_tradnl"/>
        </w:rPr>
      </w:pPr>
    </w:p>
    <w:p w:rsidR="007E2A01" w:rsidRPr="00485CC5" w:rsidRDefault="007E2A01" w:rsidP="007E2A01">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 xml:space="preserve">El primer elemento que debe ser tenido en cuenta para la realización del Juicio integrado de igualdad es determinar </w:t>
      </w:r>
      <w:r w:rsidRPr="00485CC5">
        <w:rPr>
          <w:rFonts w:ascii="Bookman Old Style" w:eastAsia="Calibri" w:hAnsi="Bookman Old Style" w:cs="Calibri"/>
          <w:i/>
          <w:szCs w:val="24"/>
          <w:lang w:val="es-ES_tradnl"/>
        </w:rPr>
        <w:t>“si los supuestos de hecho son susceptibles de compararse y si se confrontan sujetos o situaciones de la misma naturaleza”.</w:t>
      </w:r>
      <w:r w:rsidRPr="00485CC5">
        <w:rPr>
          <w:rStyle w:val="Refdenotaalpie"/>
          <w:rFonts w:ascii="Bookman Old Style" w:eastAsia="Calibri" w:hAnsi="Bookman Old Style" w:cs="Calibri"/>
          <w:i/>
          <w:szCs w:val="24"/>
          <w:lang w:val="es-ES_tradnl"/>
        </w:rPr>
        <w:footnoteReference w:id="98"/>
      </w:r>
      <w:r w:rsidRPr="00485CC5">
        <w:rPr>
          <w:rFonts w:ascii="Bookman Old Style" w:eastAsia="Calibri" w:hAnsi="Bookman Old Style" w:cs="Calibri"/>
          <w:i/>
          <w:szCs w:val="24"/>
          <w:lang w:val="es-ES_tradnl"/>
        </w:rPr>
        <w:t xml:space="preserve"> </w:t>
      </w:r>
      <w:r w:rsidRPr="00485CC5">
        <w:rPr>
          <w:rFonts w:ascii="Bookman Old Style" w:eastAsia="Calibri" w:hAnsi="Bookman Old Style" w:cs="Calibri"/>
          <w:szCs w:val="24"/>
          <w:lang w:val="es-ES_tradnl"/>
        </w:rPr>
        <w:t xml:space="preserve">Sobre el particular se considera como supuesto de comparación la habilitación legal a un individuo para el consumo personal de sustancias que generen algún tipo de alteración psíquica, comportamental o que puedan tener injerencia en su salud. </w:t>
      </w:r>
    </w:p>
    <w:p w:rsidR="007E2A01" w:rsidRPr="00485CC5" w:rsidRDefault="007E2A01" w:rsidP="007E2A01">
      <w:pPr>
        <w:jc w:val="both"/>
        <w:rPr>
          <w:rFonts w:ascii="Bookman Old Style" w:eastAsia="Calibri" w:hAnsi="Bookman Old Style" w:cs="Calibri"/>
          <w:szCs w:val="24"/>
          <w:lang w:val="es-ES_tradnl"/>
        </w:rPr>
      </w:pPr>
    </w:p>
    <w:p w:rsidR="007E2A01" w:rsidRPr="00485CC5" w:rsidRDefault="007E2A01" w:rsidP="007E2A01">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 xml:space="preserve">En segunda medida, procede establecer si </w:t>
      </w:r>
      <w:r w:rsidRPr="00485CC5">
        <w:rPr>
          <w:rFonts w:ascii="Bookman Old Style" w:eastAsia="Calibri" w:hAnsi="Bookman Old Style" w:cs="Calibri"/>
          <w:i/>
          <w:szCs w:val="24"/>
          <w:lang w:val="es-ES_tradnl"/>
        </w:rPr>
        <w:t>“en el plano fáctico y en el plano jurídico existe un trato desigual entre iguales o igual entre desiguales</w:t>
      </w:r>
      <w:r w:rsidRPr="00485CC5">
        <w:rPr>
          <w:rFonts w:ascii="Bookman Old Style" w:eastAsia="Calibri" w:hAnsi="Bookman Old Style" w:cs="Calibri"/>
          <w:szCs w:val="24"/>
          <w:lang w:val="es-ES_tradnl"/>
        </w:rPr>
        <w:t>”.</w:t>
      </w:r>
      <w:r w:rsidRPr="00485CC5">
        <w:rPr>
          <w:rStyle w:val="Refdenotaalpie"/>
          <w:rFonts w:ascii="Bookman Old Style" w:eastAsia="Calibri" w:hAnsi="Bookman Old Style" w:cs="Calibri"/>
          <w:szCs w:val="24"/>
          <w:lang w:val="es-ES_tradnl"/>
        </w:rPr>
        <w:footnoteReference w:id="99"/>
      </w:r>
      <w:r w:rsidRPr="00485CC5">
        <w:rPr>
          <w:rFonts w:ascii="Bookman Old Style" w:eastAsia="Calibri" w:hAnsi="Bookman Old Style" w:cs="Calibri"/>
          <w:szCs w:val="24"/>
          <w:lang w:val="es-ES_tradnl"/>
        </w:rPr>
        <w:t xml:space="preserve"> Sobre este punto, es claro que, tanto en el plano fáctico, como en el plano jurídico existe un trato desigual, en tanto en la actualidad un particular puede consumir de forma legal sustancias tales como el alcohol y el tabaco, pero, por el contrario, le sea vedado el acceso a sustancias como el cannabis.</w:t>
      </w:r>
    </w:p>
    <w:p w:rsidR="007E2A01" w:rsidRPr="00485CC5" w:rsidRDefault="007E2A01" w:rsidP="007E2A01">
      <w:pPr>
        <w:jc w:val="both"/>
        <w:rPr>
          <w:rFonts w:ascii="Bookman Old Style" w:eastAsia="Calibri" w:hAnsi="Bookman Old Style" w:cs="Calibri"/>
          <w:szCs w:val="24"/>
          <w:lang w:val="es-ES_tradnl"/>
        </w:rPr>
      </w:pPr>
    </w:p>
    <w:p w:rsidR="007E2A01" w:rsidRPr="00485CC5" w:rsidRDefault="007E2A01" w:rsidP="007E2A01">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 xml:space="preserve">Ahora, ¿esta diferencia encuentra una justificación constitucional? Este punto plantea una dificultad en tanto en este caso se está estudiando una prohibición que fue incluida a través de un acto legislativo a la Constitución. No obstante, para efectos de continuar el ejercicio, vale la pena analizar la prohibición a la luz de los derechos fundamentales a la igualdad, al libre desarrollo de la personalidad y a la salud. </w:t>
      </w:r>
    </w:p>
    <w:p w:rsidR="007E2A01" w:rsidRPr="00485CC5" w:rsidRDefault="007E2A01" w:rsidP="007E2A01">
      <w:pPr>
        <w:jc w:val="both"/>
        <w:rPr>
          <w:rFonts w:ascii="Bookman Old Style" w:eastAsia="Calibri" w:hAnsi="Bookman Old Style" w:cs="Calibri"/>
          <w:szCs w:val="24"/>
          <w:lang w:val="es-ES_tradnl"/>
        </w:rPr>
      </w:pPr>
    </w:p>
    <w:p w:rsidR="007E2A01" w:rsidRPr="00485CC5" w:rsidRDefault="007E2A01" w:rsidP="007E2A01">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 xml:space="preserve">Sobre este asunto, es claro que la actual normativa excluye un universo de personas a los que se les ha limitado su libre desarrollo de la personalidad, a saber, los consumidores de cannabis y aquellos que buscan un desarrollo investigativo y científico. Esta disposición no logra diferenciar entre el consumo problemático que </w:t>
      </w:r>
      <w:r w:rsidRPr="00485CC5">
        <w:rPr>
          <w:rFonts w:ascii="Bookman Old Style" w:eastAsia="Calibri" w:hAnsi="Bookman Old Style" w:cs="Calibri"/>
          <w:szCs w:val="24"/>
          <w:lang w:val="es-ES_tradnl"/>
        </w:rPr>
        <w:lastRenderedPageBreak/>
        <w:t>la inspira y el consumidor que se ve reprimido por una intromisión indebida del poder público dentro de su esfera de decisión.</w:t>
      </w:r>
    </w:p>
    <w:p w:rsidR="007E2A01" w:rsidRPr="00485CC5" w:rsidRDefault="007E2A01" w:rsidP="007E2A01">
      <w:pPr>
        <w:jc w:val="both"/>
        <w:rPr>
          <w:rFonts w:ascii="Bookman Old Style" w:eastAsia="Calibri" w:hAnsi="Bookman Old Style" w:cs="Calibri"/>
          <w:szCs w:val="24"/>
          <w:lang w:val="es-ES_tradnl"/>
        </w:rPr>
      </w:pPr>
    </w:p>
    <w:p w:rsidR="007E2A01" w:rsidRPr="00485CC5" w:rsidRDefault="007E2A01" w:rsidP="007E2A01">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Es relevante recordar lo dispuesto por Corte Constitucional, a través de la Sentencia C-221 de 1994, en virtud de la cual se estableció que:</w:t>
      </w:r>
    </w:p>
    <w:p w:rsidR="007E2A01" w:rsidRPr="00485CC5" w:rsidRDefault="007E2A01" w:rsidP="007E2A01">
      <w:pPr>
        <w:jc w:val="both"/>
        <w:rPr>
          <w:rFonts w:ascii="Bookman Old Style" w:eastAsia="Calibri" w:hAnsi="Bookman Old Style" w:cs="Calibri"/>
          <w:szCs w:val="24"/>
          <w:lang w:val="es-ES_tradnl"/>
        </w:rPr>
      </w:pPr>
    </w:p>
    <w:p w:rsidR="007E2A01" w:rsidRPr="00485CC5" w:rsidRDefault="007E2A01" w:rsidP="007E2A01">
      <w:pPr>
        <w:ind w:left="720" w:right="900"/>
        <w:jc w:val="both"/>
        <w:rPr>
          <w:rFonts w:ascii="Bookman Old Style" w:eastAsia="Calibri" w:hAnsi="Bookman Old Style" w:cs="Calibri"/>
          <w:i/>
          <w:sz w:val="20"/>
          <w:lang w:val="es-ES_tradnl"/>
        </w:rPr>
      </w:pPr>
      <w:r w:rsidRPr="00485CC5">
        <w:rPr>
          <w:rFonts w:ascii="Bookman Old Style" w:eastAsia="Calibri" w:hAnsi="Bookman Old Style" w:cs="Calibri"/>
          <w:i/>
          <w:sz w:val="20"/>
          <w:lang w:val="es-ES_tradnl"/>
        </w:rPr>
        <w:t>“La primera consecuencia que se deriva de la autonomía, consiste en que es la propia persona (y no nadie por ella) quien debe darle sentido a su existencia y, en armonía con él, un rumbo.  Si a la persona se le reconoce esa autonomía, no puede limitársela sino en la medida en que entra en conflicto con la autonomía ajena. El considerar a la persona como autónoma tiene sus consecuencias inevitables e inexorables, y la primera y más importante de todas consiste en que los asuntos que sólo a la persona atañen, sólo por ella deben ser decididos. Decidir por ella es arrebatarle brutalmente su condición ética, reducirla a la condición de objeto, cosificarla, convertirla en medio para los fines que por fuera de ella se eligen”.</w:t>
      </w:r>
      <w:r w:rsidRPr="00485CC5">
        <w:rPr>
          <w:rStyle w:val="Refdenotaalpie"/>
          <w:rFonts w:ascii="Bookman Old Style" w:eastAsia="Calibri" w:hAnsi="Bookman Old Style" w:cs="Calibri"/>
          <w:i/>
          <w:sz w:val="20"/>
          <w:lang w:val="es-ES_tradnl"/>
        </w:rPr>
        <w:footnoteReference w:id="100"/>
      </w:r>
    </w:p>
    <w:p w:rsidR="007E2A01" w:rsidRPr="00485CC5" w:rsidRDefault="007E2A01" w:rsidP="007E2A01">
      <w:pPr>
        <w:jc w:val="both"/>
        <w:rPr>
          <w:rFonts w:ascii="Bookman Old Style" w:eastAsia="Calibri" w:hAnsi="Bookman Old Style" w:cs="Calibri"/>
          <w:szCs w:val="24"/>
          <w:lang w:val="es-ES_tradnl"/>
        </w:rPr>
      </w:pPr>
    </w:p>
    <w:p w:rsidR="007E2A01" w:rsidRPr="00485CC5" w:rsidRDefault="007E2A01" w:rsidP="007E2A01">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Ahora, en lo que respecta a la salud pública valdría la pena preguntarse si la razón del trato diferencial se origina en que el cannabis, a diferencia de sustancias legales como el alcohol y el tabaco, genera mayores afectaciones a la salud o si su consumo tiene injerencia negativa frente a los derechos de los demás y el bien común. Sobre este punto, vale la pena resaltar lo ya expuesto en los numerales 4.2.</w:t>
      </w:r>
      <w:r>
        <w:rPr>
          <w:rFonts w:ascii="Bookman Old Style" w:eastAsia="Calibri" w:hAnsi="Bookman Old Style" w:cs="Calibri"/>
          <w:szCs w:val="24"/>
          <w:lang w:val="es-ES_tradnl"/>
        </w:rPr>
        <w:t>1 y 4.2</w:t>
      </w:r>
      <w:r w:rsidRPr="00485CC5">
        <w:rPr>
          <w:rFonts w:ascii="Bookman Old Style" w:eastAsia="Calibri" w:hAnsi="Bookman Old Style" w:cs="Calibri"/>
          <w:szCs w:val="24"/>
          <w:lang w:val="es-ES_tradnl"/>
        </w:rPr>
        <w:t>.</w:t>
      </w:r>
      <w:r>
        <w:rPr>
          <w:rFonts w:ascii="Bookman Old Style" w:eastAsia="Calibri" w:hAnsi="Bookman Old Style" w:cs="Calibri"/>
          <w:szCs w:val="24"/>
          <w:lang w:val="es-ES_tradnl"/>
        </w:rPr>
        <w:t>2</w:t>
      </w:r>
      <w:r w:rsidRPr="00485CC5">
        <w:rPr>
          <w:rFonts w:ascii="Bookman Old Style" w:eastAsia="Calibri" w:hAnsi="Bookman Old Style" w:cs="Calibri"/>
          <w:szCs w:val="24"/>
          <w:lang w:val="es-ES_tradnl"/>
        </w:rPr>
        <w:t xml:space="preserve"> de este documento, en los que se evidenció que, por el contrario, el cannabis produce menos afectaciones a la salud del que lo consume y que genera una menor afectación al entorno social del consumidor que sustancias como, por ejemplo, el alcohol. </w:t>
      </w:r>
    </w:p>
    <w:p w:rsidR="007E2A01" w:rsidRPr="00485CC5" w:rsidRDefault="007E2A01" w:rsidP="007E2A01">
      <w:pPr>
        <w:jc w:val="both"/>
        <w:rPr>
          <w:rFonts w:ascii="Bookman Old Style" w:eastAsia="Calibri" w:hAnsi="Bookman Old Style" w:cs="Calibri"/>
          <w:szCs w:val="24"/>
          <w:lang w:val="es-ES_tradnl"/>
        </w:rPr>
      </w:pPr>
    </w:p>
    <w:p w:rsidR="007E2A01" w:rsidRPr="00485CC5" w:rsidRDefault="007E2A01" w:rsidP="007E2A01">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 xml:space="preserve">En consecuencia, no se evidencia que exista un fin constitucional que justifique la prohibición del consumo de cannabis y que, por el contrario, se están afectando derechos fundamentales relativos a la libertad, la autonomía y autodeterminación de los individuos. Adicionalmente se encuentra que con la prohibición el Estado está desconociendo uno de sus deberes, también de rango constitucional, consistente en la promoción e implementación de servicios de salud efectivos. </w:t>
      </w:r>
    </w:p>
    <w:p w:rsidR="007E2A01" w:rsidRPr="00485CC5" w:rsidRDefault="007E2A01" w:rsidP="007E2A01">
      <w:pPr>
        <w:jc w:val="both"/>
        <w:rPr>
          <w:rFonts w:ascii="Bookman Old Style" w:eastAsia="Calibri" w:hAnsi="Bookman Old Style" w:cs="Calibri"/>
          <w:szCs w:val="24"/>
          <w:lang w:val="es-ES_tradnl"/>
        </w:rPr>
      </w:pPr>
    </w:p>
    <w:p w:rsidR="007E2A01" w:rsidRPr="00485CC5" w:rsidRDefault="007E2A01" w:rsidP="007E2A01">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 xml:space="preserve">Lo anterior deriva en que, en lo que respecta al caso concreto sea procedente exigirle al Estado la igualdad frente a las cargas públicas, razón por la cual el Legislador debe garantizar la aplicación del principio de igualdad levantando la prohibición en lo respectivo al consumo de cannabis. Esto con el fin de hacer cesar los actos discriminatorios y desproporcionados frente a las cargas que deben soportar los consumidores de esta sustancia en relación a quienes consumen otro tipo de sustancias legalmente permitidas. </w:t>
      </w:r>
    </w:p>
    <w:p w:rsidR="007E2A01" w:rsidRPr="00485CC5" w:rsidRDefault="007E2A01" w:rsidP="007E2A01">
      <w:pPr>
        <w:jc w:val="both"/>
        <w:rPr>
          <w:rFonts w:ascii="Bookman Old Style" w:eastAsia="Calibri" w:hAnsi="Bookman Old Style" w:cs="Calibri"/>
          <w:szCs w:val="24"/>
          <w:lang w:val="es-ES_tradnl"/>
        </w:rPr>
      </w:pPr>
    </w:p>
    <w:p w:rsidR="007E2A01" w:rsidRPr="00485CC5" w:rsidRDefault="007E2A01" w:rsidP="007E2A01">
      <w:pPr>
        <w:pStyle w:val="Ttulo2"/>
        <w:numPr>
          <w:ilvl w:val="0"/>
          <w:numId w:val="35"/>
        </w:numPr>
        <w:jc w:val="center"/>
        <w:rPr>
          <w:rFonts w:ascii="Bookman Old Style" w:eastAsia="Calibri" w:hAnsi="Bookman Old Style" w:cs="Calibri"/>
          <w:sz w:val="22"/>
          <w:szCs w:val="24"/>
        </w:rPr>
      </w:pPr>
      <w:r w:rsidRPr="00485CC5">
        <w:rPr>
          <w:rFonts w:ascii="Bookman Old Style" w:eastAsia="Calibri" w:hAnsi="Bookman Old Style" w:cs="Calibri"/>
          <w:sz w:val="22"/>
          <w:szCs w:val="24"/>
        </w:rPr>
        <w:t>ANÁLISIS DE LA EFECTIVIDAD DE LA POLÍTICA DE CRIMINALIZACIÓN DEL PORTE Y CONSUMO DE DROGAS</w:t>
      </w:r>
    </w:p>
    <w:p w:rsidR="007E2A01" w:rsidRPr="00485CC5" w:rsidRDefault="007E2A01" w:rsidP="007E2A01">
      <w:pPr>
        <w:rPr>
          <w:rFonts w:ascii="Bookman Old Style" w:eastAsia="Calibri" w:hAnsi="Bookman Old Style"/>
          <w:szCs w:val="24"/>
        </w:rPr>
      </w:pPr>
    </w:p>
    <w:p w:rsidR="007E2A01" w:rsidRPr="00485CC5" w:rsidRDefault="007E2A01" w:rsidP="007E2A01">
      <w:pPr>
        <w:jc w:val="both"/>
        <w:rPr>
          <w:rFonts w:ascii="Bookman Old Style" w:hAnsi="Bookman Old Style" w:cs="Calibri"/>
          <w:szCs w:val="24"/>
        </w:rPr>
      </w:pPr>
      <w:r w:rsidRPr="00485CC5">
        <w:rPr>
          <w:rFonts w:ascii="Bookman Old Style" w:hAnsi="Bookman Old Style" w:cs="Calibri"/>
          <w:szCs w:val="24"/>
        </w:rPr>
        <w:t>Habiendo culminado el análisis constitucional, vale la pena analizar la efectividad de la política de criminalización del porte y consumo de drogas en el país.</w:t>
      </w:r>
    </w:p>
    <w:p w:rsidR="007E2A01" w:rsidRPr="00485CC5" w:rsidRDefault="007E2A01" w:rsidP="007E2A01">
      <w:pPr>
        <w:jc w:val="both"/>
        <w:rPr>
          <w:rFonts w:ascii="Bookman Old Style" w:hAnsi="Bookman Old Style" w:cs="Calibri"/>
          <w:szCs w:val="24"/>
        </w:rPr>
      </w:pPr>
    </w:p>
    <w:p w:rsidR="007E2A01" w:rsidRPr="00485CC5" w:rsidRDefault="007E2A01" w:rsidP="007E2A01">
      <w:pPr>
        <w:jc w:val="both"/>
        <w:rPr>
          <w:rFonts w:ascii="Bookman Old Style" w:hAnsi="Bookman Old Style" w:cs="Calibri"/>
          <w:szCs w:val="24"/>
        </w:rPr>
      </w:pPr>
      <w:r w:rsidRPr="00485CC5">
        <w:rPr>
          <w:rFonts w:ascii="Bookman Old Style" w:hAnsi="Bookman Old Style" w:cs="Calibri"/>
          <w:szCs w:val="24"/>
        </w:rPr>
        <w:t>La política de drogas en Colombia se ha enfocado en: “</w:t>
      </w:r>
      <w:r w:rsidRPr="00485CC5">
        <w:rPr>
          <w:rFonts w:ascii="Bookman Old Style" w:hAnsi="Bookman Old Style" w:cs="Calibri"/>
          <w:i/>
          <w:iCs/>
          <w:szCs w:val="24"/>
        </w:rPr>
        <w:t>1) el uso preferente del derecho penal, 2) el carácter expansivo de la sanción penal a los delitos de drogas (más conductas y mayores penas) y 3) el carácter indiferenciado de esas sanciones, pues a conductas muy disímiles –tanto por el tipo de actividad, como por la escala en que se realizan– se les han aplicado penas similares muy severas</w:t>
      </w:r>
      <w:r w:rsidRPr="00485CC5">
        <w:rPr>
          <w:rFonts w:ascii="Bookman Old Style" w:hAnsi="Bookman Old Style" w:cs="Calibri"/>
          <w:szCs w:val="24"/>
        </w:rPr>
        <w:t>”.</w:t>
      </w:r>
      <w:r w:rsidRPr="00485CC5">
        <w:rPr>
          <w:rStyle w:val="Refdenotaalpie"/>
          <w:rFonts w:ascii="Bookman Old Style" w:hAnsi="Bookman Old Style" w:cs="Calibri"/>
          <w:szCs w:val="24"/>
        </w:rPr>
        <w:footnoteReference w:id="101"/>
      </w:r>
      <w:r w:rsidRPr="00485CC5">
        <w:rPr>
          <w:rFonts w:ascii="Bookman Old Style" w:hAnsi="Bookman Old Style" w:cs="Calibri"/>
          <w:szCs w:val="24"/>
        </w:rPr>
        <w:t xml:space="preserve"> Por tanto, Dejusticia para el 2017, en “</w:t>
      </w:r>
      <w:r w:rsidRPr="00485CC5">
        <w:rPr>
          <w:rFonts w:ascii="Bookman Old Style" w:hAnsi="Bookman Old Style" w:cs="Calibri"/>
          <w:i/>
          <w:iCs/>
          <w:szCs w:val="24"/>
        </w:rPr>
        <w:t>Sobredosis Carcelaria y Política de Drogas en América Latina</w:t>
      </w:r>
      <w:r w:rsidRPr="00485CC5">
        <w:rPr>
          <w:rFonts w:ascii="Bookman Old Style" w:hAnsi="Bookman Old Style" w:cs="Calibri"/>
          <w:szCs w:val="24"/>
        </w:rPr>
        <w:t>”, ha señalado que el sistema carcelario en Colombia ha acarreado un costo muy alto por el prohibicionismo de las drogas.</w:t>
      </w:r>
      <w:r w:rsidRPr="00485CC5">
        <w:rPr>
          <w:rStyle w:val="Refdenotaalpie"/>
          <w:rFonts w:ascii="Bookman Old Style" w:hAnsi="Bookman Old Style" w:cs="Calibri"/>
          <w:szCs w:val="24"/>
        </w:rPr>
        <w:footnoteReference w:id="102"/>
      </w:r>
      <w:r w:rsidRPr="00485CC5">
        <w:rPr>
          <w:rFonts w:ascii="Bookman Old Style" w:hAnsi="Bookman Old Style" w:cs="Calibri"/>
          <w:szCs w:val="24"/>
        </w:rPr>
        <w:t xml:space="preserve"> Lo anterior ha llevado a un alto encarcelamiento de las personas más vulnerables dentro de la economía de las drogas, con repercusiones y sin llegar  a éxitos dentro de la lucha contra las drogas o el desmonte de las estructuras delictivas.</w:t>
      </w:r>
      <w:r w:rsidRPr="00485CC5">
        <w:rPr>
          <w:rStyle w:val="Refdenotaalpie"/>
          <w:rFonts w:ascii="Bookman Old Style" w:hAnsi="Bookman Old Style" w:cs="Calibri"/>
          <w:szCs w:val="24"/>
        </w:rPr>
        <w:footnoteReference w:id="103"/>
      </w:r>
    </w:p>
    <w:p w:rsidR="007E2A01" w:rsidRPr="00485CC5" w:rsidRDefault="007E2A01" w:rsidP="007E2A01">
      <w:pPr>
        <w:jc w:val="both"/>
        <w:rPr>
          <w:rFonts w:ascii="Bookman Old Style" w:hAnsi="Bookman Old Style" w:cs="Calibri"/>
          <w:szCs w:val="24"/>
        </w:rPr>
      </w:pPr>
    </w:p>
    <w:p w:rsidR="007E2A01" w:rsidRPr="00485CC5" w:rsidRDefault="007E2A01" w:rsidP="007E2A01">
      <w:pPr>
        <w:jc w:val="both"/>
        <w:rPr>
          <w:rFonts w:ascii="Bookman Old Style" w:hAnsi="Bookman Old Style" w:cs="Calibri"/>
          <w:szCs w:val="24"/>
        </w:rPr>
      </w:pPr>
      <w:r w:rsidRPr="00485CC5">
        <w:rPr>
          <w:rFonts w:ascii="Bookman Old Style" w:hAnsi="Bookman Old Style" w:cs="Calibri"/>
          <w:szCs w:val="24"/>
        </w:rPr>
        <w:t>En otras palabras, en Colombia la política de drogas se ha concentrado en la acción punitiva, generando los siguientes efectos indeseados, de acuerdo a Dejusticia 2017</w:t>
      </w:r>
      <w:r w:rsidRPr="00485CC5">
        <w:rPr>
          <w:rStyle w:val="Refdenotaalpie"/>
          <w:rFonts w:ascii="Bookman Old Style" w:hAnsi="Bookman Old Style" w:cs="Calibri"/>
          <w:szCs w:val="24"/>
        </w:rPr>
        <w:footnoteReference w:id="104"/>
      </w:r>
      <w:r w:rsidRPr="00485CC5">
        <w:rPr>
          <w:rFonts w:ascii="Bookman Old Style" w:hAnsi="Bookman Old Style" w:cs="Calibri"/>
          <w:szCs w:val="24"/>
        </w:rPr>
        <w:t>:</w:t>
      </w:r>
    </w:p>
    <w:p w:rsidR="007E2A01" w:rsidRPr="00485CC5" w:rsidRDefault="007E2A01" w:rsidP="007E2A01">
      <w:pPr>
        <w:jc w:val="both"/>
        <w:rPr>
          <w:rFonts w:ascii="Bookman Old Style" w:hAnsi="Bookman Old Style" w:cs="Calibri"/>
          <w:szCs w:val="24"/>
        </w:rPr>
      </w:pPr>
    </w:p>
    <w:p w:rsidR="007E2A01" w:rsidRPr="00485CC5" w:rsidRDefault="007E2A01" w:rsidP="007E2A01">
      <w:pPr>
        <w:pStyle w:val="Prrafodelista"/>
        <w:numPr>
          <w:ilvl w:val="0"/>
          <w:numId w:val="38"/>
        </w:numPr>
        <w:spacing w:after="0" w:line="240" w:lineRule="auto"/>
        <w:ind w:right="758"/>
        <w:jc w:val="both"/>
        <w:rPr>
          <w:rFonts w:ascii="Bookman Old Style" w:hAnsi="Bookman Old Style" w:cs="Calibri"/>
          <w:szCs w:val="24"/>
        </w:rPr>
      </w:pPr>
      <w:r w:rsidRPr="00485CC5">
        <w:rPr>
          <w:rFonts w:ascii="Bookman Old Style" w:hAnsi="Bookman Old Style" w:cs="Calibri"/>
          <w:szCs w:val="24"/>
        </w:rPr>
        <w:t xml:space="preserve">Primero, en el balance costo beneficio (desproporcionalidad utilitaria), pues ha implicado enormes costos fiscales, humanos y ha sobrecargado los sistemas judiciales y penitenciarios, sin que se perciban beneficios significativos en términos de reducción de la demanda (consumo) o de la oferta (producción). </w:t>
      </w:r>
    </w:p>
    <w:p w:rsidR="007E2A01" w:rsidRPr="00485CC5" w:rsidRDefault="007E2A01" w:rsidP="007E2A01">
      <w:pPr>
        <w:pStyle w:val="Prrafodelista"/>
        <w:spacing w:after="0" w:line="240" w:lineRule="auto"/>
        <w:ind w:right="758"/>
        <w:jc w:val="both"/>
        <w:rPr>
          <w:rFonts w:ascii="Bookman Old Style" w:hAnsi="Bookman Old Style" w:cs="Calibri"/>
          <w:szCs w:val="24"/>
        </w:rPr>
      </w:pPr>
    </w:p>
    <w:p w:rsidR="007E2A01" w:rsidRPr="00485CC5" w:rsidRDefault="007E2A01" w:rsidP="007E2A01">
      <w:pPr>
        <w:pStyle w:val="Prrafodelista"/>
        <w:numPr>
          <w:ilvl w:val="0"/>
          <w:numId w:val="38"/>
        </w:numPr>
        <w:spacing w:after="0" w:line="240" w:lineRule="auto"/>
        <w:ind w:right="758"/>
        <w:jc w:val="both"/>
        <w:rPr>
          <w:rFonts w:ascii="Bookman Old Style" w:hAnsi="Bookman Old Style" w:cs="Calibri"/>
          <w:szCs w:val="24"/>
        </w:rPr>
      </w:pPr>
      <w:r w:rsidRPr="00485CC5">
        <w:rPr>
          <w:rFonts w:ascii="Bookman Old Style" w:hAnsi="Bookman Old Style" w:cs="Calibri"/>
          <w:szCs w:val="24"/>
        </w:rPr>
        <w:t xml:space="preserve">Segundo, en materia penal, la tipificación de los delitos y la aplicación de las penas para el caso de los delitos de drogas no parece ser proporcional al daño efectivamente causado con la conducta penalizada. Además, los delitos de drogas se han llegado a castigar con penas superiores o similares a las que se aplicaron para delitos tan graves como el homicidio o los delitos en contra de la libertad y formación sexual. </w:t>
      </w:r>
    </w:p>
    <w:p w:rsidR="007E2A01" w:rsidRPr="00485CC5" w:rsidRDefault="007E2A01" w:rsidP="007E2A01">
      <w:pPr>
        <w:pStyle w:val="Prrafodelista"/>
        <w:spacing w:after="0" w:line="240" w:lineRule="auto"/>
        <w:ind w:right="758"/>
        <w:jc w:val="both"/>
        <w:rPr>
          <w:rFonts w:ascii="Bookman Old Style" w:hAnsi="Bookman Old Style" w:cs="Calibri"/>
          <w:szCs w:val="24"/>
        </w:rPr>
      </w:pPr>
    </w:p>
    <w:p w:rsidR="007E2A01" w:rsidRPr="00485CC5" w:rsidRDefault="007E2A01" w:rsidP="007E2A01">
      <w:pPr>
        <w:pStyle w:val="Prrafodelista"/>
        <w:numPr>
          <w:ilvl w:val="0"/>
          <w:numId w:val="38"/>
        </w:numPr>
        <w:spacing w:after="0" w:line="240" w:lineRule="auto"/>
        <w:ind w:right="758"/>
        <w:jc w:val="both"/>
        <w:rPr>
          <w:rFonts w:ascii="Bookman Old Style" w:hAnsi="Bookman Old Style" w:cs="Calibri"/>
          <w:szCs w:val="24"/>
        </w:rPr>
      </w:pPr>
      <w:r w:rsidRPr="00485CC5">
        <w:rPr>
          <w:rFonts w:ascii="Bookman Old Style" w:hAnsi="Bookman Old Style" w:cs="Calibri"/>
          <w:szCs w:val="24"/>
        </w:rPr>
        <w:t xml:space="preserve">Tercero, en materia constitucional, la judicialización excesiva de los delitos de drogas limita derechos fundamentales (con el ánimo de proteger con eficacia dudosa la salud pública), generando una grave afectación de los derechos que juegan en sentido contrario (autonomía personal, libre desarrollo de la personalidad y dignidad humana), y sin tener en cuenta criterio alguno de adecuación, necesidad o proporcionalidad. </w:t>
      </w:r>
    </w:p>
    <w:p w:rsidR="007E2A01" w:rsidRPr="00485CC5" w:rsidRDefault="007E2A01" w:rsidP="007E2A01">
      <w:pPr>
        <w:pStyle w:val="Prrafodelista"/>
        <w:spacing w:after="0" w:line="240" w:lineRule="auto"/>
        <w:ind w:right="758"/>
        <w:jc w:val="both"/>
        <w:rPr>
          <w:rFonts w:ascii="Bookman Old Style" w:hAnsi="Bookman Old Style" w:cs="Calibri"/>
          <w:szCs w:val="24"/>
        </w:rPr>
      </w:pPr>
    </w:p>
    <w:p w:rsidR="007E2A01" w:rsidRPr="00485CC5" w:rsidRDefault="007E2A01" w:rsidP="007E2A01">
      <w:pPr>
        <w:jc w:val="both"/>
        <w:rPr>
          <w:rFonts w:ascii="Bookman Old Style" w:hAnsi="Bookman Old Style" w:cs="Calibri"/>
          <w:szCs w:val="24"/>
        </w:rPr>
      </w:pPr>
      <w:r w:rsidRPr="00485CC5">
        <w:rPr>
          <w:rFonts w:ascii="Bookman Old Style" w:hAnsi="Bookman Old Style" w:cs="Calibri"/>
          <w:szCs w:val="24"/>
        </w:rPr>
        <w:t xml:space="preserve">Es importante ver estas políticas punitivas a la luz de las actuales cifras de las </w:t>
      </w:r>
      <w:r w:rsidRPr="00485CC5">
        <w:rPr>
          <w:rFonts w:ascii="Bookman Old Style" w:hAnsi="Bookman Old Style" w:cs="Calibri"/>
          <w:szCs w:val="24"/>
        </w:rPr>
        <w:lastRenderedPageBreak/>
        <w:t>prisiones en Colombia. Siguiendo la línea del informe de Dejusticia (2017) y actualizando las cifras para 2019, según los datos del International Center for Prison Studies (Centro Internacional de Estudios sobre Prisiones)</w:t>
      </w:r>
      <w:r w:rsidRPr="00485CC5">
        <w:rPr>
          <w:rStyle w:val="Refdenotaalpie"/>
          <w:rFonts w:ascii="Bookman Old Style" w:hAnsi="Bookman Old Style" w:cs="Calibri"/>
          <w:szCs w:val="24"/>
        </w:rPr>
        <w:footnoteReference w:id="105"/>
      </w:r>
      <w:r w:rsidRPr="00485CC5">
        <w:rPr>
          <w:rFonts w:ascii="Bookman Old Style" w:hAnsi="Bookman Old Style" w:cs="Calibri"/>
          <w:szCs w:val="24"/>
        </w:rPr>
        <w:t>:</w:t>
      </w:r>
    </w:p>
    <w:p w:rsidR="007E2A01" w:rsidRPr="00485CC5" w:rsidRDefault="007E2A01" w:rsidP="007E2A01">
      <w:pPr>
        <w:jc w:val="both"/>
        <w:rPr>
          <w:rFonts w:ascii="Bookman Old Style" w:hAnsi="Bookman Old Style" w:cs="Calibri"/>
          <w:szCs w:val="24"/>
        </w:rPr>
      </w:pPr>
    </w:p>
    <w:p w:rsidR="007E2A01" w:rsidRPr="00485CC5" w:rsidRDefault="007E2A01" w:rsidP="007E2A01">
      <w:pPr>
        <w:pStyle w:val="Prrafodelista"/>
        <w:numPr>
          <w:ilvl w:val="0"/>
          <w:numId w:val="11"/>
        </w:numPr>
        <w:spacing w:after="0" w:line="240" w:lineRule="auto"/>
        <w:jc w:val="both"/>
        <w:rPr>
          <w:rFonts w:ascii="Bookman Old Style" w:hAnsi="Bookman Old Style" w:cs="Calibri"/>
          <w:szCs w:val="24"/>
        </w:rPr>
      </w:pPr>
      <w:r w:rsidRPr="00485CC5">
        <w:rPr>
          <w:rFonts w:ascii="Bookman Old Style" w:hAnsi="Bookman Old Style" w:cs="Calibri"/>
          <w:szCs w:val="24"/>
        </w:rPr>
        <w:t>Colombia ocupa el puesto número 14 en términos de población privada de la libertad, con 119.896 personas en sus cárceles a 2018, población que en Latinoamérica solamente es superada por Brasil (719.998).</w:t>
      </w:r>
    </w:p>
    <w:p w:rsidR="007E2A01" w:rsidRPr="00485CC5" w:rsidRDefault="007E2A01" w:rsidP="007E2A01">
      <w:pPr>
        <w:pStyle w:val="Prrafodelista"/>
        <w:spacing w:after="0" w:line="240" w:lineRule="auto"/>
        <w:jc w:val="both"/>
        <w:rPr>
          <w:rFonts w:ascii="Bookman Old Style" w:hAnsi="Bookman Old Style" w:cs="Calibri"/>
          <w:szCs w:val="24"/>
        </w:rPr>
      </w:pPr>
    </w:p>
    <w:p w:rsidR="007E2A01" w:rsidRPr="00485CC5" w:rsidRDefault="007E2A01" w:rsidP="007E2A01">
      <w:pPr>
        <w:pStyle w:val="Prrafodelista"/>
        <w:numPr>
          <w:ilvl w:val="1"/>
          <w:numId w:val="11"/>
        </w:numPr>
        <w:spacing w:after="0" w:line="240" w:lineRule="auto"/>
        <w:jc w:val="both"/>
        <w:rPr>
          <w:rFonts w:ascii="Bookman Old Style" w:hAnsi="Bookman Old Style" w:cs="Calibri"/>
          <w:szCs w:val="24"/>
        </w:rPr>
      </w:pPr>
      <w:r w:rsidRPr="00485CC5">
        <w:rPr>
          <w:rFonts w:ascii="Bookman Old Style" w:hAnsi="Bookman Old Style" w:cs="Calibri"/>
          <w:szCs w:val="24"/>
        </w:rPr>
        <w:t>Ha habido un crecimiento acelerado de dicha población, creciendo un 133% desde el año 2000, superando el crecimiento porcentual de la población en Colombia para el mismo periodo 5.3 veces según las cifras del DANE.</w:t>
      </w:r>
      <w:r w:rsidRPr="00485CC5">
        <w:rPr>
          <w:rStyle w:val="Refdenotaalpie"/>
          <w:rFonts w:ascii="Bookman Old Style" w:hAnsi="Bookman Old Style" w:cs="Calibri"/>
          <w:szCs w:val="24"/>
        </w:rPr>
        <w:footnoteReference w:id="106"/>
      </w:r>
    </w:p>
    <w:p w:rsidR="007E2A01" w:rsidRPr="00485CC5" w:rsidRDefault="007E2A01" w:rsidP="007E2A01">
      <w:pPr>
        <w:jc w:val="both"/>
        <w:rPr>
          <w:rFonts w:ascii="Bookman Old Style" w:hAnsi="Bookman Old Style" w:cs="Calibri"/>
          <w:szCs w:val="24"/>
        </w:rPr>
      </w:pPr>
    </w:p>
    <w:p w:rsidR="007E2A01" w:rsidRPr="00485CC5" w:rsidRDefault="007E2A01" w:rsidP="007E2A01">
      <w:pPr>
        <w:pStyle w:val="Prrafodelista"/>
        <w:numPr>
          <w:ilvl w:val="0"/>
          <w:numId w:val="11"/>
        </w:numPr>
        <w:spacing w:after="0" w:line="240" w:lineRule="auto"/>
        <w:jc w:val="both"/>
        <w:rPr>
          <w:rFonts w:ascii="Bookman Old Style" w:hAnsi="Bookman Old Style" w:cs="Calibri"/>
          <w:szCs w:val="24"/>
        </w:rPr>
      </w:pPr>
      <w:r w:rsidRPr="00485CC5">
        <w:rPr>
          <w:rFonts w:ascii="Bookman Old Style" w:hAnsi="Bookman Old Style" w:cs="Calibri"/>
          <w:szCs w:val="24"/>
        </w:rPr>
        <w:t xml:space="preserve">Colombia ocupa el puesto 48 en términos de países con mayores tasas de encarcelamiento, con 241 por cada 100.000 habitantes privados de la libertad. </w:t>
      </w:r>
    </w:p>
    <w:p w:rsidR="007E2A01" w:rsidRPr="00485CC5" w:rsidRDefault="007E2A01" w:rsidP="007E2A01">
      <w:pPr>
        <w:pStyle w:val="Prrafodelista"/>
        <w:spacing w:after="0" w:line="240" w:lineRule="auto"/>
        <w:jc w:val="both"/>
        <w:rPr>
          <w:rFonts w:ascii="Bookman Old Style" w:hAnsi="Bookman Old Style" w:cs="Calibri"/>
          <w:szCs w:val="24"/>
        </w:rPr>
      </w:pPr>
    </w:p>
    <w:p w:rsidR="007E2A01" w:rsidRPr="00485CC5" w:rsidRDefault="007E2A01" w:rsidP="007E2A01">
      <w:pPr>
        <w:pStyle w:val="Prrafodelista"/>
        <w:numPr>
          <w:ilvl w:val="1"/>
          <w:numId w:val="11"/>
        </w:numPr>
        <w:spacing w:after="0" w:line="240" w:lineRule="auto"/>
        <w:jc w:val="both"/>
        <w:rPr>
          <w:rFonts w:ascii="Bookman Old Style" w:hAnsi="Bookman Old Style" w:cs="Calibri"/>
          <w:szCs w:val="24"/>
        </w:rPr>
      </w:pPr>
      <w:r w:rsidRPr="00485CC5">
        <w:rPr>
          <w:rFonts w:ascii="Bookman Old Style" w:hAnsi="Bookman Old Style" w:cs="Calibri"/>
          <w:szCs w:val="24"/>
        </w:rPr>
        <w:t>Esta cifra está muy por encima del promedio mundial reportado por el Centro Internacional de Estudios sobre Prisiones para 2018, que fue de 145 por cada 100.000 habitantes.</w:t>
      </w:r>
    </w:p>
    <w:p w:rsidR="007E2A01" w:rsidRPr="00485CC5" w:rsidRDefault="007E2A01" w:rsidP="007E2A01">
      <w:pPr>
        <w:pStyle w:val="Prrafodelista"/>
        <w:spacing w:after="0" w:line="240" w:lineRule="auto"/>
        <w:ind w:left="1440"/>
        <w:jc w:val="both"/>
        <w:rPr>
          <w:rFonts w:ascii="Bookman Old Style" w:hAnsi="Bookman Old Style" w:cs="Calibri"/>
          <w:szCs w:val="24"/>
        </w:rPr>
      </w:pPr>
    </w:p>
    <w:p w:rsidR="007E2A01" w:rsidRPr="00485CC5" w:rsidRDefault="007E2A01" w:rsidP="007E2A01">
      <w:pPr>
        <w:pStyle w:val="Prrafodelista"/>
        <w:numPr>
          <w:ilvl w:val="1"/>
          <w:numId w:val="11"/>
        </w:numPr>
        <w:spacing w:after="0" w:line="240" w:lineRule="auto"/>
        <w:jc w:val="both"/>
        <w:rPr>
          <w:rFonts w:ascii="Bookman Old Style" w:hAnsi="Bookman Old Style" w:cs="Calibri"/>
          <w:szCs w:val="24"/>
        </w:rPr>
      </w:pPr>
      <w:r w:rsidRPr="00485CC5">
        <w:rPr>
          <w:rFonts w:ascii="Bookman Old Style" w:hAnsi="Bookman Old Style" w:cs="Calibri"/>
          <w:szCs w:val="24"/>
        </w:rPr>
        <w:t>También, resulta preocupante el crecimiento de esta cifra que aumentó en un 17% desde el año 2000 (128 por cada 100.000 habitantes).</w:t>
      </w:r>
    </w:p>
    <w:p w:rsidR="007E2A01" w:rsidRPr="00485CC5" w:rsidRDefault="007E2A01" w:rsidP="007E2A01">
      <w:pPr>
        <w:pStyle w:val="Prrafodelista"/>
        <w:spacing w:after="0" w:line="240" w:lineRule="auto"/>
        <w:ind w:left="1440"/>
        <w:jc w:val="both"/>
        <w:rPr>
          <w:rFonts w:ascii="Bookman Old Style" w:hAnsi="Bookman Old Style" w:cs="Calibri"/>
          <w:szCs w:val="24"/>
        </w:rPr>
      </w:pPr>
    </w:p>
    <w:p w:rsidR="007E2A01" w:rsidRPr="00485CC5" w:rsidRDefault="007E2A01" w:rsidP="007E2A01">
      <w:pPr>
        <w:pStyle w:val="Prrafodelista"/>
        <w:numPr>
          <w:ilvl w:val="0"/>
          <w:numId w:val="11"/>
        </w:numPr>
        <w:spacing w:after="0" w:line="240" w:lineRule="auto"/>
        <w:jc w:val="both"/>
        <w:rPr>
          <w:rFonts w:ascii="Bookman Old Style" w:hAnsi="Bookman Old Style" w:cs="Calibri"/>
          <w:szCs w:val="24"/>
        </w:rPr>
      </w:pPr>
      <w:r w:rsidRPr="00485CC5">
        <w:rPr>
          <w:rFonts w:ascii="Bookman Old Style" w:hAnsi="Bookman Old Style" w:cs="Calibri"/>
          <w:szCs w:val="24"/>
        </w:rPr>
        <w:t>Colombia ocupa el puesto 51 en términos de países con mayor tasa de encarcelamiento femenino. Las mujeres representan el 6.9% de la población privada de la libertad en Colombia.</w:t>
      </w:r>
    </w:p>
    <w:p w:rsidR="007E2A01" w:rsidRPr="00485CC5" w:rsidRDefault="007E2A01" w:rsidP="007E2A01">
      <w:pPr>
        <w:pStyle w:val="Prrafodelista"/>
        <w:spacing w:after="0" w:line="240" w:lineRule="auto"/>
        <w:jc w:val="both"/>
        <w:rPr>
          <w:rFonts w:ascii="Bookman Old Style" w:hAnsi="Bookman Old Style" w:cs="Calibri"/>
          <w:szCs w:val="24"/>
        </w:rPr>
      </w:pPr>
    </w:p>
    <w:p w:rsidR="007E2A01" w:rsidRPr="00485CC5" w:rsidRDefault="007E2A01" w:rsidP="007E2A01">
      <w:pPr>
        <w:pStyle w:val="Prrafodelista"/>
        <w:numPr>
          <w:ilvl w:val="1"/>
          <w:numId w:val="11"/>
        </w:numPr>
        <w:spacing w:after="0" w:line="240" w:lineRule="auto"/>
        <w:jc w:val="both"/>
        <w:rPr>
          <w:rFonts w:ascii="Bookman Old Style" w:hAnsi="Bookman Old Style" w:cs="Calibri"/>
          <w:szCs w:val="24"/>
        </w:rPr>
      </w:pPr>
      <w:r w:rsidRPr="00485CC5">
        <w:rPr>
          <w:rFonts w:ascii="Bookman Old Style" w:hAnsi="Bookman Old Style" w:cs="Calibri"/>
          <w:szCs w:val="24"/>
        </w:rPr>
        <w:t>La población femenina privada de la libertad ha crecido de una manera más acelerada que el promedio nacional, 163% desde el año 2000 superando el crecimiento porcentual de la población femenina en Colombia para el mismo periodo 6.5 veces según las cifras del DANE.</w:t>
      </w:r>
    </w:p>
    <w:p w:rsidR="007E2A01" w:rsidRPr="00485CC5" w:rsidRDefault="007E2A01" w:rsidP="007E2A01">
      <w:pPr>
        <w:pStyle w:val="Prrafodelista"/>
        <w:spacing w:after="0" w:line="240" w:lineRule="auto"/>
        <w:ind w:left="1440"/>
        <w:jc w:val="both"/>
        <w:rPr>
          <w:rFonts w:ascii="Bookman Old Style" w:hAnsi="Bookman Old Style" w:cs="Calibri"/>
          <w:szCs w:val="24"/>
        </w:rPr>
      </w:pPr>
    </w:p>
    <w:p w:rsidR="007E2A01" w:rsidRPr="00485CC5" w:rsidRDefault="007E2A01" w:rsidP="007E2A01">
      <w:pPr>
        <w:pStyle w:val="Prrafodelista"/>
        <w:numPr>
          <w:ilvl w:val="0"/>
          <w:numId w:val="11"/>
        </w:numPr>
        <w:spacing w:after="0" w:line="240" w:lineRule="auto"/>
        <w:jc w:val="both"/>
        <w:rPr>
          <w:rFonts w:ascii="Bookman Old Style" w:hAnsi="Bookman Old Style" w:cs="Calibri"/>
          <w:szCs w:val="24"/>
        </w:rPr>
      </w:pPr>
      <w:r w:rsidRPr="00485CC5">
        <w:rPr>
          <w:rFonts w:ascii="Bookman Old Style" w:hAnsi="Bookman Old Style" w:cs="Calibri"/>
          <w:szCs w:val="24"/>
        </w:rPr>
        <w:t>Colombia ocupa el puesto 53 en términos de países con mayor hacinamiento carcelario, 149.4%.</w:t>
      </w:r>
    </w:p>
    <w:p w:rsidR="007E2A01" w:rsidRPr="00485CC5" w:rsidRDefault="007E2A01" w:rsidP="007E2A01">
      <w:pPr>
        <w:pStyle w:val="Prrafodelista"/>
        <w:spacing w:after="0" w:line="240" w:lineRule="auto"/>
        <w:jc w:val="both"/>
        <w:rPr>
          <w:rFonts w:ascii="Bookman Old Style" w:hAnsi="Bookman Old Style" w:cs="Calibri"/>
          <w:szCs w:val="24"/>
        </w:rPr>
      </w:pPr>
    </w:p>
    <w:p w:rsidR="007E2A01" w:rsidRDefault="007E2A01" w:rsidP="007E2A01">
      <w:pPr>
        <w:jc w:val="both"/>
        <w:rPr>
          <w:rFonts w:ascii="Bookman Old Style" w:hAnsi="Bookman Old Style" w:cs="Calibri"/>
          <w:szCs w:val="24"/>
        </w:rPr>
      </w:pPr>
      <w:r>
        <w:rPr>
          <w:rFonts w:ascii="Bookman Old Style" w:hAnsi="Bookman Old Style" w:cs="Calibri"/>
          <w:szCs w:val="24"/>
        </w:rPr>
        <w:t>De acuerdo al Instituto Nacional Penitenciario y Carcelario – INPEC, el hacinamiento carcelario en Colombia ha sido una situación constante en el sistema penitenciario, en donde ha alcanzado picos hasta del 54,3%, como ocurrió en el año 2019. Si bien esta cifra ha bajado a un 19,8% para Junio de 2022, persiste el hacinamiento carcelario en detrimento de los derechos fundamentales de las personas privadas de la libertad.</w:t>
      </w:r>
    </w:p>
    <w:p w:rsidR="007E2A01" w:rsidRDefault="007E2A01" w:rsidP="007E2A01">
      <w:pPr>
        <w:jc w:val="both"/>
        <w:rPr>
          <w:rFonts w:ascii="Bookman Old Style" w:hAnsi="Bookman Old Style" w:cs="Calibri"/>
          <w:szCs w:val="24"/>
        </w:rPr>
      </w:pPr>
    </w:p>
    <w:tbl>
      <w:tblPr>
        <w:tblStyle w:val="Tablaconcuadrcula"/>
        <w:tblW w:w="0" w:type="auto"/>
        <w:tblLook w:val="04A0" w:firstRow="1" w:lastRow="0" w:firstColumn="1" w:lastColumn="0" w:noHBand="0" w:noVBand="1"/>
      </w:tblPr>
      <w:tblGrid>
        <w:gridCol w:w="3397"/>
        <w:gridCol w:w="5431"/>
      </w:tblGrid>
      <w:tr w:rsidR="007E2A01" w:rsidTr="007E2A01">
        <w:tc>
          <w:tcPr>
            <w:tcW w:w="3397" w:type="dxa"/>
          </w:tcPr>
          <w:p w:rsidR="007E2A01" w:rsidRPr="001D5D7C" w:rsidRDefault="007E2A01" w:rsidP="007E2A01">
            <w:pPr>
              <w:jc w:val="center"/>
              <w:rPr>
                <w:rFonts w:ascii="Bookman Old Style" w:hAnsi="Bookman Old Style" w:cs="Calibri"/>
                <w:b/>
                <w:bCs/>
                <w:szCs w:val="24"/>
              </w:rPr>
            </w:pPr>
            <w:r w:rsidRPr="001D5D7C">
              <w:rPr>
                <w:rFonts w:ascii="Bookman Old Style" w:hAnsi="Bookman Old Style" w:cs="Calibri"/>
                <w:b/>
                <w:bCs/>
                <w:szCs w:val="24"/>
              </w:rPr>
              <w:t>AÑO</w:t>
            </w:r>
          </w:p>
        </w:tc>
        <w:tc>
          <w:tcPr>
            <w:tcW w:w="5431" w:type="dxa"/>
          </w:tcPr>
          <w:p w:rsidR="007E2A01" w:rsidRPr="001D5D7C" w:rsidRDefault="007E2A01" w:rsidP="007E2A01">
            <w:pPr>
              <w:jc w:val="center"/>
              <w:rPr>
                <w:rFonts w:ascii="Bookman Old Style" w:hAnsi="Bookman Old Style" w:cs="Calibri"/>
                <w:b/>
                <w:bCs/>
                <w:szCs w:val="24"/>
              </w:rPr>
            </w:pPr>
            <w:r w:rsidRPr="001D5D7C">
              <w:rPr>
                <w:rFonts w:ascii="Bookman Old Style" w:hAnsi="Bookman Old Style" w:cs="Calibri"/>
                <w:b/>
                <w:bCs/>
                <w:szCs w:val="24"/>
              </w:rPr>
              <w:t>PORCENTAJE HACINAMIENTO CARCELARIO</w:t>
            </w:r>
          </w:p>
        </w:tc>
      </w:tr>
      <w:tr w:rsidR="007E2A01" w:rsidTr="007E2A01">
        <w:tc>
          <w:tcPr>
            <w:tcW w:w="3397" w:type="dxa"/>
          </w:tcPr>
          <w:p w:rsidR="007E2A01" w:rsidRDefault="007E2A01" w:rsidP="007E2A01">
            <w:pPr>
              <w:jc w:val="center"/>
              <w:rPr>
                <w:rFonts w:ascii="Bookman Old Style" w:hAnsi="Bookman Old Style" w:cs="Calibri"/>
                <w:szCs w:val="24"/>
              </w:rPr>
            </w:pPr>
            <w:r>
              <w:rPr>
                <w:rFonts w:ascii="Bookman Old Style" w:hAnsi="Bookman Old Style" w:cs="Calibri"/>
                <w:szCs w:val="24"/>
              </w:rPr>
              <w:t>2017</w:t>
            </w:r>
          </w:p>
        </w:tc>
        <w:tc>
          <w:tcPr>
            <w:tcW w:w="5431" w:type="dxa"/>
          </w:tcPr>
          <w:p w:rsidR="007E2A01" w:rsidRPr="001D5D7C" w:rsidRDefault="007E2A01" w:rsidP="007E2A01">
            <w:pPr>
              <w:jc w:val="center"/>
              <w:rPr>
                <w:rFonts w:ascii="Bookman Old Style" w:hAnsi="Bookman Old Style" w:cs="Calibri"/>
                <w:sz w:val="28"/>
                <w:szCs w:val="28"/>
              </w:rPr>
            </w:pPr>
            <w:r>
              <w:rPr>
                <w:rFonts w:ascii="Bookman Old Style" w:hAnsi="Bookman Old Style" w:cs="Calibri"/>
                <w:sz w:val="28"/>
                <w:szCs w:val="28"/>
              </w:rPr>
              <w:t>44,9%</w:t>
            </w:r>
          </w:p>
        </w:tc>
      </w:tr>
      <w:tr w:rsidR="007E2A01" w:rsidTr="007E2A01">
        <w:tc>
          <w:tcPr>
            <w:tcW w:w="3397" w:type="dxa"/>
          </w:tcPr>
          <w:p w:rsidR="007E2A01" w:rsidRDefault="007E2A01" w:rsidP="007E2A01">
            <w:pPr>
              <w:jc w:val="center"/>
              <w:rPr>
                <w:rFonts w:ascii="Bookman Old Style" w:hAnsi="Bookman Old Style" w:cs="Calibri"/>
                <w:szCs w:val="24"/>
              </w:rPr>
            </w:pPr>
            <w:r>
              <w:rPr>
                <w:rFonts w:ascii="Bookman Old Style" w:hAnsi="Bookman Old Style" w:cs="Calibri"/>
                <w:szCs w:val="24"/>
              </w:rPr>
              <w:t>2018</w:t>
            </w:r>
          </w:p>
        </w:tc>
        <w:tc>
          <w:tcPr>
            <w:tcW w:w="5431" w:type="dxa"/>
          </w:tcPr>
          <w:p w:rsidR="007E2A01" w:rsidRPr="001D5D7C" w:rsidRDefault="007E2A01" w:rsidP="007E2A01">
            <w:pPr>
              <w:jc w:val="center"/>
              <w:rPr>
                <w:rFonts w:ascii="Bookman Old Style" w:hAnsi="Bookman Old Style" w:cs="Calibri"/>
                <w:sz w:val="28"/>
                <w:szCs w:val="28"/>
              </w:rPr>
            </w:pPr>
            <w:r>
              <w:rPr>
                <w:rFonts w:ascii="Bookman Old Style" w:hAnsi="Bookman Old Style" w:cs="Calibri"/>
                <w:sz w:val="28"/>
                <w:szCs w:val="28"/>
              </w:rPr>
              <w:t>47,7%</w:t>
            </w:r>
          </w:p>
        </w:tc>
      </w:tr>
      <w:tr w:rsidR="007E2A01" w:rsidTr="007E2A01">
        <w:tc>
          <w:tcPr>
            <w:tcW w:w="3397" w:type="dxa"/>
          </w:tcPr>
          <w:p w:rsidR="007E2A01" w:rsidRDefault="007E2A01" w:rsidP="007E2A01">
            <w:pPr>
              <w:jc w:val="center"/>
              <w:rPr>
                <w:rFonts w:ascii="Bookman Old Style" w:hAnsi="Bookman Old Style" w:cs="Calibri"/>
                <w:szCs w:val="24"/>
              </w:rPr>
            </w:pPr>
            <w:r>
              <w:rPr>
                <w:rFonts w:ascii="Bookman Old Style" w:hAnsi="Bookman Old Style" w:cs="Calibri"/>
                <w:szCs w:val="24"/>
              </w:rPr>
              <w:t>2019</w:t>
            </w:r>
          </w:p>
        </w:tc>
        <w:tc>
          <w:tcPr>
            <w:tcW w:w="5431" w:type="dxa"/>
          </w:tcPr>
          <w:p w:rsidR="007E2A01" w:rsidRPr="001D5D7C" w:rsidRDefault="007E2A01" w:rsidP="007E2A01">
            <w:pPr>
              <w:jc w:val="center"/>
              <w:rPr>
                <w:rFonts w:ascii="Bookman Old Style" w:hAnsi="Bookman Old Style" w:cs="Calibri"/>
                <w:sz w:val="28"/>
                <w:szCs w:val="28"/>
              </w:rPr>
            </w:pPr>
            <w:r>
              <w:rPr>
                <w:rFonts w:ascii="Bookman Old Style" w:hAnsi="Bookman Old Style" w:cs="Calibri"/>
                <w:sz w:val="28"/>
                <w:szCs w:val="28"/>
              </w:rPr>
              <w:t>54,3%</w:t>
            </w:r>
          </w:p>
        </w:tc>
      </w:tr>
      <w:tr w:rsidR="007E2A01" w:rsidTr="007E2A01">
        <w:tc>
          <w:tcPr>
            <w:tcW w:w="3397" w:type="dxa"/>
          </w:tcPr>
          <w:p w:rsidR="007E2A01" w:rsidRDefault="007E2A01" w:rsidP="007E2A01">
            <w:pPr>
              <w:jc w:val="center"/>
              <w:rPr>
                <w:rFonts w:ascii="Bookman Old Style" w:hAnsi="Bookman Old Style" w:cs="Calibri"/>
                <w:szCs w:val="24"/>
              </w:rPr>
            </w:pPr>
            <w:r>
              <w:rPr>
                <w:rFonts w:ascii="Bookman Old Style" w:hAnsi="Bookman Old Style" w:cs="Calibri"/>
                <w:szCs w:val="24"/>
              </w:rPr>
              <w:t>2020</w:t>
            </w:r>
          </w:p>
        </w:tc>
        <w:tc>
          <w:tcPr>
            <w:tcW w:w="5431" w:type="dxa"/>
          </w:tcPr>
          <w:p w:rsidR="007E2A01" w:rsidRPr="001D5D7C" w:rsidRDefault="007E2A01" w:rsidP="007E2A01">
            <w:pPr>
              <w:jc w:val="center"/>
              <w:rPr>
                <w:rFonts w:ascii="Bookman Old Style" w:hAnsi="Bookman Old Style" w:cs="Calibri"/>
                <w:sz w:val="28"/>
                <w:szCs w:val="28"/>
              </w:rPr>
            </w:pPr>
            <w:r>
              <w:rPr>
                <w:rFonts w:ascii="Bookman Old Style" w:hAnsi="Bookman Old Style" w:cs="Calibri"/>
                <w:sz w:val="28"/>
                <w:szCs w:val="28"/>
              </w:rPr>
              <w:t>19,3%</w:t>
            </w:r>
          </w:p>
        </w:tc>
      </w:tr>
      <w:tr w:rsidR="007E2A01" w:rsidTr="007E2A01">
        <w:tc>
          <w:tcPr>
            <w:tcW w:w="3397" w:type="dxa"/>
          </w:tcPr>
          <w:p w:rsidR="007E2A01" w:rsidRDefault="007E2A01" w:rsidP="007E2A01">
            <w:pPr>
              <w:jc w:val="center"/>
              <w:rPr>
                <w:rFonts w:ascii="Bookman Old Style" w:hAnsi="Bookman Old Style" w:cs="Calibri"/>
                <w:szCs w:val="24"/>
              </w:rPr>
            </w:pPr>
            <w:r>
              <w:rPr>
                <w:rFonts w:ascii="Bookman Old Style" w:hAnsi="Bookman Old Style" w:cs="Calibri"/>
                <w:szCs w:val="24"/>
              </w:rPr>
              <w:t>2021</w:t>
            </w:r>
          </w:p>
        </w:tc>
        <w:tc>
          <w:tcPr>
            <w:tcW w:w="5431" w:type="dxa"/>
          </w:tcPr>
          <w:p w:rsidR="007E2A01" w:rsidRPr="001D5D7C" w:rsidRDefault="007E2A01" w:rsidP="007E2A01">
            <w:pPr>
              <w:jc w:val="center"/>
              <w:rPr>
                <w:rFonts w:ascii="Bookman Old Style" w:hAnsi="Bookman Old Style" w:cs="Calibri"/>
                <w:sz w:val="28"/>
                <w:szCs w:val="28"/>
              </w:rPr>
            </w:pPr>
            <w:r>
              <w:rPr>
                <w:rFonts w:ascii="Bookman Old Style" w:hAnsi="Bookman Old Style" w:cs="Calibri"/>
                <w:sz w:val="28"/>
                <w:szCs w:val="28"/>
              </w:rPr>
              <w:t>20,5%</w:t>
            </w:r>
          </w:p>
        </w:tc>
      </w:tr>
      <w:tr w:rsidR="007E2A01" w:rsidTr="007E2A01">
        <w:tc>
          <w:tcPr>
            <w:tcW w:w="3397" w:type="dxa"/>
          </w:tcPr>
          <w:p w:rsidR="007E2A01" w:rsidRDefault="007E2A01" w:rsidP="007E2A01">
            <w:pPr>
              <w:jc w:val="center"/>
              <w:rPr>
                <w:rFonts w:ascii="Bookman Old Style" w:hAnsi="Bookman Old Style" w:cs="Calibri"/>
                <w:szCs w:val="24"/>
              </w:rPr>
            </w:pPr>
            <w:r>
              <w:rPr>
                <w:rFonts w:ascii="Bookman Old Style" w:hAnsi="Bookman Old Style" w:cs="Calibri"/>
                <w:szCs w:val="24"/>
              </w:rPr>
              <w:t>2022 (Corte al 30 de Junio)</w:t>
            </w:r>
          </w:p>
        </w:tc>
        <w:tc>
          <w:tcPr>
            <w:tcW w:w="5431" w:type="dxa"/>
          </w:tcPr>
          <w:p w:rsidR="007E2A01" w:rsidRPr="001D5D7C" w:rsidRDefault="007E2A01" w:rsidP="007E2A01">
            <w:pPr>
              <w:jc w:val="center"/>
              <w:rPr>
                <w:rFonts w:ascii="Bookman Old Style" w:hAnsi="Bookman Old Style" w:cs="Calibri"/>
                <w:sz w:val="28"/>
                <w:szCs w:val="28"/>
              </w:rPr>
            </w:pPr>
            <w:r>
              <w:rPr>
                <w:rFonts w:ascii="Bookman Old Style" w:hAnsi="Bookman Old Style" w:cs="Calibri"/>
                <w:sz w:val="28"/>
                <w:szCs w:val="28"/>
              </w:rPr>
              <w:t>19,8%</w:t>
            </w:r>
          </w:p>
        </w:tc>
      </w:tr>
    </w:tbl>
    <w:p w:rsidR="007E2A01" w:rsidRDefault="007E2A01" w:rsidP="007E2A01">
      <w:pPr>
        <w:jc w:val="both"/>
        <w:rPr>
          <w:rFonts w:ascii="Bookman Old Style" w:hAnsi="Bookman Old Style" w:cs="Calibri"/>
          <w:szCs w:val="24"/>
        </w:rPr>
      </w:pPr>
    </w:p>
    <w:p w:rsidR="007E2A01" w:rsidRPr="00485CC5" w:rsidRDefault="007E2A01" w:rsidP="007E2A01">
      <w:pPr>
        <w:jc w:val="both"/>
        <w:rPr>
          <w:rFonts w:ascii="Bookman Old Style" w:hAnsi="Bookman Old Style" w:cs="Calibri"/>
          <w:szCs w:val="24"/>
        </w:rPr>
      </w:pPr>
      <w:r w:rsidRPr="00485CC5">
        <w:rPr>
          <w:rFonts w:ascii="Bookman Old Style" w:hAnsi="Bookman Old Style" w:cs="Calibri"/>
          <w:szCs w:val="24"/>
        </w:rPr>
        <w:t>En este sentido, es importante ver estas cifras de privación de la libertad en Colombia a la luz de las capturas por delitos por drogas, pues estas representan una gran parte de las capturas que se dan en el país. De las 2.479.630 capturas realizadas por la Policía Nacional por presunta conducta delictiva en el periodo 2005-2014, “</w:t>
      </w:r>
      <w:r w:rsidRPr="00485CC5">
        <w:rPr>
          <w:rFonts w:ascii="Bookman Old Style" w:hAnsi="Bookman Old Style" w:cs="Calibri"/>
          <w:i/>
          <w:iCs/>
          <w:szCs w:val="24"/>
        </w:rPr>
        <w:t>727.091 (el 29,3 %) han sido por presunto porte, tráfico o fabricación de drogas</w:t>
      </w:r>
      <w:r w:rsidRPr="00485CC5">
        <w:rPr>
          <w:rFonts w:ascii="Bookman Old Style" w:hAnsi="Bookman Old Style" w:cs="Calibri"/>
          <w:szCs w:val="24"/>
        </w:rPr>
        <w:t>” (Dejusticia, 2017, pp. 30). Para el 2014, 1 de cada 3 capturas de la policía estuvo relacionada con drogas, capturas que son principalmente de jóvenes y menores de edad.</w:t>
      </w:r>
      <w:r w:rsidRPr="00485CC5">
        <w:rPr>
          <w:rStyle w:val="Refdenotaalpie"/>
          <w:rFonts w:ascii="Bookman Old Style" w:hAnsi="Bookman Old Style" w:cs="Calibri"/>
          <w:szCs w:val="24"/>
        </w:rPr>
        <w:footnoteReference w:id="107"/>
      </w:r>
    </w:p>
    <w:p w:rsidR="007E2A01" w:rsidRPr="00485CC5" w:rsidRDefault="007E2A01" w:rsidP="007E2A01">
      <w:pPr>
        <w:jc w:val="both"/>
        <w:rPr>
          <w:rFonts w:ascii="Bookman Old Style" w:hAnsi="Bookman Old Style" w:cs="Calibri"/>
          <w:szCs w:val="24"/>
        </w:rPr>
      </w:pPr>
    </w:p>
    <w:p w:rsidR="007E2A01" w:rsidRPr="00485CC5" w:rsidRDefault="007E2A01" w:rsidP="007E2A01">
      <w:pPr>
        <w:jc w:val="both"/>
        <w:rPr>
          <w:rFonts w:ascii="Bookman Old Style" w:hAnsi="Bookman Old Style" w:cs="Calibri"/>
          <w:szCs w:val="24"/>
        </w:rPr>
      </w:pPr>
      <w:r w:rsidRPr="00485CC5">
        <w:rPr>
          <w:rFonts w:ascii="Bookman Old Style" w:hAnsi="Bookman Old Style" w:cs="Calibri"/>
          <w:szCs w:val="24"/>
        </w:rPr>
        <w:t>Así como la población privada de la libertad en Colombia por delitos asociados a drogas pasó de 11% en 2000 a 22% en 2015. De la cual, la población de mujeres pasó de 40% en 2000 a 46% en 2015, mientras que la población masculina por este mismo tipo de conducta pasó de 10% en 2000 a 18% en 2015. Aunado al hecho que de cada 200 capturas solo 48 (24%) terminan en condena.</w:t>
      </w:r>
      <w:r w:rsidRPr="00485CC5">
        <w:rPr>
          <w:rStyle w:val="Refdenotaalpie"/>
          <w:rFonts w:ascii="Bookman Old Style" w:hAnsi="Bookman Old Style" w:cs="Calibri"/>
          <w:szCs w:val="24"/>
        </w:rPr>
        <w:footnoteReference w:id="108"/>
      </w:r>
    </w:p>
    <w:p w:rsidR="007E2A01" w:rsidRPr="00485CC5" w:rsidRDefault="007E2A01" w:rsidP="007E2A01">
      <w:pPr>
        <w:jc w:val="both"/>
        <w:rPr>
          <w:rFonts w:ascii="Bookman Old Style" w:hAnsi="Bookman Old Style" w:cs="Calibri"/>
          <w:szCs w:val="24"/>
        </w:rPr>
      </w:pPr>
    </w:p>
    <w:p w:rsidR="007E2A01" w:rsidRPr="00485CC5" w:rsidRDefault="007E2A01" w:rsidP="007E2A01">
      <w:pPr>
        <w:jc w:val="both"/>
        <w:rPr>
          <w:rFonts w:ascii="Bookman Old Style" w:hAnsi="Bookman Old Style" w:cs="Calibri"/>
          <w:szCs w:val="24"/>
        </w:rPr>
      </w:pPr>
      <w:r w:rsidRPr="00485CC5">
        <w:rPr>
          <w:rFonts w:ascii="Bookman Old Style" w:hAnsi="Bookman Old Style" w:cs="Calibri"/>
          <w:szCs w:val="24"/>
        </w:rPr>
        <w:t>El 52% de las personas capturadas por delitos de tráfico, porte o fabricación de estupefacientes, son menores de 25 años.</w:t>
      </w:r>
      <w:r w:rsidRPr="00485CC5">
        <w:rPr>
          <w:rStyle w:val="Refdenotaalpie"/>
          <w:rFonts w:ascii="Bookman Old Style" w:hAnsi="Bookman Old Style" w:cs="Calibri"/>
          <w:szCs w:val="24"/>
        </w:rPr>
        <w:footnoteReference w:id="109"/>
      </w:r>
      <w:r w:rsidRPr="00485CC5">
        <w:rPr>
          <w:rFonts w:ascii="Bookman Old Style" w:hAnsi="Bookman Old Style" w:cs="Calibri"/>
          <w:szCs w:val="24"/>
        </w:rPr>
        <w:t xml:space="preserve"> Pero es preocupante que, de los 160.047 casos registrados de menores de edad que han ingresado al Sistema de Responsabilidad Penal para Adolescentes, el 30% de los casos eran relacionados con tráfico, fabricación o porte de estupefacientes</w:t>
      </w:r>
      <w:r w:rsidRPr="00485CC5">
        <w:rPr>
          <w:rStyle w:val="Refdenotaalpie"/>
          <w:rFonts w:ascii="Bookman Old Style" w:hAnsi="Bookman Old Style" w:cs="Calibri"/>
          <w:szCs w:val="24"/>
        </w:rPr>
        <w:footnoteReference w:id="110"/>
      </w:r>
      <w:r w:rsidRPr="00485CC5">
        <w:rPr>
          <w:rFonts w:ascii="Bookman Old Style" w:hAnsi="Bookman Old Style" w:cs="Calibri"/>
          <w:szCs w:val="24"/>
        </w:rPr>
        <w:t>, porcentaje que solamente es superado por los casos de hurto, que representan el 39%.</w:t>
      </w:r>
    </w:p>
    <w:p w:rsidR="007E2A01" w:rsidRPr="00485CC5" w:rsidRDefault="007E2A01" w:rsidP="007E2A01">
      <w:pPr>
        <w:jc w:val="both"/>
        <w:rPr>
          <w:rFonts w:ascii="Bookman Old Style" w:hAnsi="Bookman Old Style" w:cs="Calibri"/>
          <w:szCs w:val="24"/>
        </w:rPr>
      </w:pPr>
    </w:p>
    <w:p w:rsidR="007E2A01" w:rsidRPr="00485CC5" w:rsidRDefault="007E2A01" w:rsidP="007E2A01">
      <w:pPr>
        <w:jc w:val="both"/>
        <w:rPr>
          <w:rFonts w:ascii="Bookman Old Style" w:hAnsi="Bookman Old Style" w:cs="Calibri"/>
          <w:szCs w:val="24"/>
        </w:rPr>
      </w:pPr>
      <w:r w:rsidRPr="00485CC5">
        <w:rPr>
          <w:rFonts w:ascii="Bookman Old Style" w:hAnsi="Bookman Old Style" w:cs="Calibri"/>
          <w:szCs w:val="24"/>
        </w:rPr>
        <w:t xml:space="preserve">Con las políticas punitivas en Colombia no solamente se están persiguiendo a los jóvenes, sino también a las personas más pobres, a las personas con menos nivel educativo y que menos oportunidades han tenido a lo largo de la historia de nuestro país. Ello se evidencia en las cifras arrojadas por un estudio realizado por Dejusticia sobre personas condenadas por tráfico, porte o fabricación de </w:t>
      </w:r>
      <w:r w:rsidRPr="00485CC5">
        <w:rPr>
          <w:rFonts w:ascii="Bookman Old Style" w:hAnsi="Bookman Old Style" w:cs="Calibri"/>
          <w:szCs w:val="24"/>
        </w:rPr>
        <w:lastRenderedPageBreak/>
        <w:t>estupefacientes para el periodo 2010 – 2014</w:t>
      </w:r>
      <w:r w:rsidRPr="00485CC5">
        <w:rPr>
          <w:rStyle w:val="Refdenotaalpie"/>
          <w:rFonts w:ascii="Bookman Old Style" w:hAnsi="Bookman Old Style" w:cs="Calibri"/>
          <w:szCs w:val="24"/>
        </w:rPr>
        <w:footnoteReference w:id="111"/>
      </w:r>
      <w:r w:rsidRPr="00485CC5">
        <w:rPr>
          <w:rFonts w:ascii="Bookman Old Style" w:hAnsi="Bookman Old Style" w:cs="Calibri"/>
          <w:szCs w:val="24"/>
        </w:rPr>
        <w:t>, en donde el 19.4% de las personas condenadas se encontraban desempleadas o se ocupaban en la economía informal, y solamente 4.41% se dedicaba a un oficio profesional.</w:t>
      </w:r>
    </w:p>
    <w:p w:rsidR="007E2A01" w:rsidRPr="00485CC5" w:rsidRDefault="007E2A01" w:rsidP="007E2A01">
      <w:pPr>
        <w:jc w:val="both"/>
        <w:rPr>
          <w:rFonts w:ascii="Bookman Old Style" w:hAnsi="Bookman Old Style" w:cs="Calibri"/>
          <w:szCs w:val="24"/>
        </w:rPr>
      </w:pPr>
    </w:p>
    <w:p w:rsidR="007E2A01" w:rsidRPr="00485CC5" w:rsidRDefault="007E2A01" w:rsidP="007E2A01">
      <w:pPr>
        <w:jc w:val="both"/>
        <w:rPr>
          <w:rFonts w:ascii="Bookman Old Style" w:hAnsi="Bookman Old Style" w:cs="Calibri"/>
          <w:szCs w:val="24"/>
        </w:rPr>
      </w:pPr>
      <w:r w:rsidRPr="00485CC5">
        <w:rPr>
          <w:rFonts w:ascii="Bookman Old Style" w:hAnsi="Bookman Old Style" w:cs="Calibri"/>
          <w:szCs w:val="24"/>
        </w:rPr>
        <w:t>La situación de hacinamiento es crítica en las cárceles colombianas, debido en parte, al gran número de personas privadas de libertad por delitos en conexión con drogas y el acelerado crecimiento de estas cifras. Al punto que, de acuerdo a Dejusticia, si se hubieran implementado alternativas que permitieran la salida de la cárcel de las personas recluidas por delitos de drogas, el hacinamiento se reduciría en un promedio del 33.38% al 9.48% para el periodo.</w:t>
      </w:r>
      <w:r w:rsidRPr="00485CC5">
        <w:rPr>
          <w:rStyle w:val="Refdenotaalpie"/>
          <w:rFonts w:ascii="Bookman Old Style" w:hAnsi="Bookman Old Style" w:cs="Calibri"/>
          <w:szCs w:val="24"/>
        </w:rPr>
        <w:footnoteReference w:id="112"/>
      </w:r>
    </w:p>
    <w:p w:rsidR="007E2A01" w:rsidRPr="00485CC5" w:rsidRDefault="007E2A01" w:rsidP="007E2A01">
      <w:pPr>
        <w:jc w:val="both"/>
        <w:rPr>
          <w:rFonts w:ascii="Bookman Old Style" w:hAnsi="Bookman Old Style" w:cs="Calibri"/>
          <w:szCs w:val="24"/>
        </w:rPr>
      </w:pPr>
    </w:p>
    <w:p w:rsidR="007E2A01" w:rsidRPr="00485CC5" w:rsidRDefault="007E2A01" w:rsidP="007E2A01">
      <w:pPr>
        <w:jc w:val="both"/>
        <w:rPr>
          <w:rFonts w:ascii="Bookman Old Style" w:hAnsi="Bookman Old Style" w:cs="Calibri"/>
          <w:szCs w:val="24"/>
        </w:rPr>
      </w:pPr>
      <w:r w:rsidRPr="00485CC5">
        <w:rPr>
          <w:rFonts w:ascii="Bookman Old Style" w:hAnsi="Bookman Old Style" w:cs="Calibri"/>
          <w:szCs w:val="24"/>
        </w:rPr>
        <w:t>La regulación del consumo de marihuana si bien no solucionaría completamente los problemas expuestos anteriormente, sí sería un primer paso para enmendar muchas de las injusticias contra los grupos más vulnerables y eslabones más débiles. No solamente ayudaría ahorrar recursos al Estado, sino también permitiría a las autoridades judiciales concentrar sus esfuerzos en conductas que realmente pongan en riesgo a la sociedad.</w:t>
      </w:r>
    </w:p>
    <w:p w:rsidR="007E2A01" w:rsidRPr="00485CC5" w:rsidRDefault="007E2A01" w:rsidP="007E2A01">
      <w:pPr>
        <w:jc w:val="both"/>
        <w:rPr>
          <w:rFonts w:ascii="Bookman Old Style" w:hAnsi="Bookman Old Style" w:cs="Calibri"/>
          <w:szCs w:val="24"/>
        </w:rPr>
      </w:pPr>
    </w:p>
    <w:p w:rsidR="007E2A01" w:rsidRPr="00485CC5" w:rsidRDefault="007E2A01" w:rsidP="007E2A01">
      <w:pPr>
        <w:pStyle w:val="Ttulo1"/>
        <w:jc w:val="both"/>
        <w:rPr>
          <w:rFonts w:ascii="Bookman Old Style" w:hAnsi="Bookman Old Style" w:cs="Calibri"/>
          <w:b w:val="0"/>
          <w:sz w:val="22"/>
          <w:szCs w:val="24"/>
        </w:rPr>
      </w:pPr>
      <w:bookmarkStart w:id="4" w:name="_Toc5023217"/>
      <w:r w:rsidRPr="00485CC5">
        <w:rPr>
          <w:rFonts w:ascii="Bookman Old Style" w:hAnsi="Bookman Old Style" w:cs="Calibri"/>
          <w:b w:val="0"/>
          <w:sz w:val="22"/>
          <w:szCs w:val="24"/>
        </w:rPr>
        <w:t>Finalmente, tenemos que tener en cuenta que las Políticas de Drogas están encaminadas a los Objetivos de Desarrollo Sostenible</w:t>
      </w:r>
      <w:bookmarkEnd w:id="4"/>
      <w:r w:rsidRPr="00485CC5">
        <w:rPr>
          <w:rFonts w:ascii="Bookman Old Style" w:hAnsi="Bookman Old Style" w:cs="Calibri"/>
          <w:b w:val="0"/>
          <w:sz w:val="22"/>
          <w:szCs w:val="24"/>
        </w:rPr>
        <w:t>. En el reporte de 2018 titulado “</w:t>
      </w:r>
      <w:r w:rsidRPr="00485CC5">
        <w:rPr>
          <w:rFonts w:ascii="Bookman Old Style" w:hAnsi="Bookman Old Style" w:cs="Calibri"/>
          <w:b w:val="0"/>
          <w:i/>
          <w:iCs/>
          <w:sz w:val="22"/>
          <w:szCs w:val="24"/>
        </w:rPr>
        <w:t>Políticas de Drogas y la Agenda para el Desarrollo Sostenible</w:t>
      </w:r>
      <w:r w:rsidRPr="00485CC5">
        <w:rPr>
          <w:rFonts w:ascii="Bookman Old Style" w:hAnsi="Bookman Old Style" w:cs="Calibri"/>
          <w:b w:val="0"/>
          <w:sz w:val="22"/>
          <w:szCs w:val="24"/>
        </w:rPr>
        <w:t>”</w:t>
      </w:r>
      <w:r w:rsidRPr="00485CC5">
        <w:rPr>
          <w:rStyle w:val="Refdenotaalpie"/>
          <w:rFonts w:ascii="Bookman Old Style" w:hAnsi="Bookman Old Style" w:cs="Calibri"/>
          <w:b w:val="0"/>
          <w:sz w:val="22"/>
          <w:szCs w:val="24"/>
        </w:rPr>
        <w:footnoteReference w:id="113"/>
      </w:r>
      <w:r w:rsidRPr="00485CC5">
        <w:rPr>
          <w:rFonts w:ascii="Bookman Old Style" w:hAnsi="Bookman Old Style" w:cs="Calibri"/>
          <w:b w:val="0"/>
          <w:sz w:val="22"/>
          <w:szCs w:val="24"/>
        </w:rPr>
        <w:t>, la Comisión Global de Políticas de Drogas</w:t>
      </w:r>
      <w:r w:rsidRPr="00485CC5">
        <w:rPr>
          <w:rStyle w:val="Refdenotaalpie"/>
          <w:rFonts w:ascii="Bookman Old Style" w:hAnsi="Bookman Old Style" w:cs="Calibri"/>
          <w:b w:val="0"/>
          <w:sz w:val="22"/>
          <w:szCs w:val="24"/>
        </w:rPr>
        <w:t xml:space="preserve"> </w:t>
      </w:r>
      <w:r w:rsidRPr="00485CC5">
        <w:rPr>
          <w:rFonts w:ascii="Bookman Old Style" w:hAnsi="Bookman Old Style" w:cs="Calibri"/>
          <w:b w:val="0"/>
          <w:sz w:val="22"/>
          <w:szCs w:val="24"/>
        </w:rPr>
        <w:t>señala cómo el lanzamiento de los Objetivos de Desarrollo Sostenible permite dirigir “</w:t>
      </w:r>
      <w:r w:rsidRPr="00485CC5">
        <w:rPr>
          <w:rFonts w:ascii="Bookman Old Style" w:hAnsi="Bookman Old Style" w:cs="Calibri"/>
          <w:b w:val="0"/>
          <w:i/>
          <w:iCs/>
          <w:sz w:val="22"/>
          <w:szCs w:val="24"/>
        </w:rPr>
        <w:t>las políticas de drogas para enfocarse en aquellos que están amenazados, en lugar de las amenazas que pueden representar las drogas mismas</w:t>
      </w:r>
      <w:r w:rsidRPr="00485CC5">
        <w:rPr>
          <w:rFonts w:ascii="Bookman Old Style" w:hAnsi="Bookman Old Style" w:cs="Calibri"/>
          <w:b w:val="0"/>
          <w:sz w:val="22"/>
          <w:szCs w:val="24"/>
        </w:rPr>
        <w:t>”</w:t>
      </w:r>
      <w:r w:rsidRPr="00485CC5">
        <w:rPr>
          <w:rStyle w:val="Refdenotaalpie"/>
          <w:rFonts w:ascii="Bookman Old Style" w:hAnsi="Bookman Old Style" w:cs="Calibri"/>
          <w:b w:val="0"/>
          <w:sz w:val="22"/>
          <w:szCs w:val="24"/>
        </w:rPr>
        <w:t xml:space="preserve"> </w:t>
      </w:r>
      <w:r w:rsidRPr="00485CC5">
        <w:rPr>
          <w:rStyle w:val="Refdenotaalpie"/>
          <w:rFonts w:ascii="Bookman Old Style" w:hAnsi="Bookman Old Style" w:cs="Calibri"/>
          <w:b w:val="0"/>
          <w:sz w:val="22"/>
          <w:szCs w:val="24"/>
        </w:rPr>
        <w:footnoteReference w:id="114"/>
      </w:r>
      <w:r w:rsidRPr="00485CC5">
        <w:rPr>
          <w:rFonts w:ascii="Bookman Old Style" w:hAnsi="Bookman Old Style" w:cs="Calibri"/>
          <w:b w:val="0"/>
          <w:sz w:val="22"/>
          <w:szCs w:val="24"/>
        </w:rPr>
        <w:t>.</w:t>
      </w:r>
    </w:p>
    <w:p w:rsidR="007E2A01" w:rsidRPr="00485CC5" w:rsidRDefault="007E2A01" w:rsidP="007E2A01">
      <w:pPr>
        <w:rPr>
          <w:rFonts w:ascii="Bookman Old Style" w:hAnsi="Bookman Old Style"/>
          <w:szCs w:val="24"/>
        </w:rPr>
      </w:pPr>
    </w:p>
    <w:p w:rsidR="007E2A01" w:rsidRPr="00485CC5" w:rsidRDefault="007E2A01" w:rsidP="007E2A01">
      <w:pPr>
        <w:pStyle w:val="Ttulo1"/>
        <w:jc w:val="both"/>
        <w:rPr>
          <w:rFonts w:ascii="Bookman Old Style" w:hAnsi="Bookman Old Style" w:cs="Calibri"/>
          <w:b w:val="0"/>
          <w:sz w:val="22"/>
          <w:szCs w:val="24"/>
        </w:rPr>
      </w:pPr>
      <w:r w:rsidRPr="00485CC5">
        <w:rPr>
          <w:rFonts w:ascii="Bookman Old Style" w:hAnsi="Bookman Old Style" w:cs="Calibri"/>
          <w:b w:val="0"/>
          <w:sz w:val="22"/>
          <w:szCs w:val="24"/>
        </w:rPr>
        <w:t>La política de drogas de regulación, y no de persecución, se puede enmarcar dentro de los diferentes ODS y, pueden generar oportunidades para la prevención y asistencia de los grupos más vulnerables. La lucha actual contra las drogas, dentro de las cuales se incluye la marihuana, afecta el alcance de los Objetivos de Desarrollo Sostenible, así:</w:t>
      </w:r>
    </w:p>
    <w:p w:rsidR="007E2A01" w:rsidRPr="00485CC5" w:rsidRDefault="007E2A01" w:rsidP="007E2A01">
      <w:pPr>
        <w:rPr>
          <w:rFonts w:ascii="Bookman Old Style" w:hAnsi="Bookman Old Style"/>
          <w:szCs w:val="24"/>
        </w:rPr>
      </w:pPr>
    </w:p>
    <w:p w:rsidR="007E2A01" w:rsidRPr="00485CC5" w:rsidRDefault="007E2A01" w:rsidP="007E2A01">
      <w:pPr>
        <w:pStyle w:val="Prrafodelista"/>
        <w:numPr>
          <w:ilvl w:val="0"/>
          <w:numId w:val="5"/>
        </w:numPr>
        <w:spacing w:after="0" w:line="240" w:lineRule="auto"/>
        <w:jc w:val="both"/>
        <w:rPr>
          <w:rFonts w:ascii="Bookman Old Style" w:hAnsi="Bookman Old Style" w:cs="Calibri"/>
          <w:szCs w:val="24"/>
        </w:rPr>
      </w:pPr>
      <w:r w:rsidRPr="00485CC5">
        <w:rPr>
          <w:rFonts w:ascii="Bookman Old Style" w:hAnsi="Bookman Old Style" w:cs="Calibri"/>
          <w:szCs w:val="24"/>
        </w:rPr>
        <w:t>ODS 1 (fin de la pobreza): las políticas de control de drogas han exacerbado la pobreza sin enfrentar las causas que llevan a las personas a participar en el mercado de las drogas.</w:t>
      </w:r>
      <w:r w:rsidRPr="00485CC5">
        <w:rPr>
          <w:rStyle w:val="Refdenotaalpie"/>
          <w:rFonts w:ascii="Bookman Old Style" w:hAnsi="Bookman Old Style" w:cs="Calibri"/>
          <w:szCs w:val="24"/>
        </w:rPr>
        <w:footnoteReference w:id="115"/>
      </w:r>
      <w:r w:rsidRPr="00485CC5">
        <w:rPr>
          <w:rFonts w:ascii="Bookman Old Style" w:hAnsi="Bookman Old Style" w:cs="Calibri"/>
          <w:szCs w:val="24"/>
        </w:rPr>
        <w:t xml:space="preserve"> En el mercado ilícito de las drogas participan personas vulnerables y las políticas represivas han sido contraproducentes, afectando principalmente a las personas más vulnerables, grupos étnicos y comunidades marginalizadas. Muchos de los cultivos de drogas ilícitas se dan en regiones donde el Estado no llega y hay desigualdad en el acceso a la tierra. Las políticas de erradicación forzosa sin ofrecer alternativas de </w:t>
      </w:r>
      <w:r w:rsidRPr="00485CC5">
        <w:rPr>
          <w:rFonts w:ascii="Bookman Old Style" w:hAnsi="Bookman Old Style" w:cs="Calibri"/>
          <w:szCs w:val="24"/>
        </w:rPr>
        <w:lastRenderedPageBreak/>
        <w:t>subsistencia, así como la persecución de los eslabones más débiles en las cadenas de producción, exacerban la pobreza en las poblaciones vulnerables.</w:t>
      </w:r>
      <w:r w:rsidRPr="00485CC5">
        <w:rPr>
          <w:rStyle w:val="Refdenotaalpie"/>
          <w:rFonts w:ascii="Bookman Old Style" w:hAnsi="Bookman Old Style" w:cs="Calibri"/>
          <w:szCs w:val="24"/>
        </w:rPr>
        <w:footnoteReference w:id="116"/>
      </w:r>
      <w:r w:rsidRPr="00485CC5">
        <w:rPr>
          <w:rFonts w:ascii="Bookman Old Style" w:hAnsi="Bookman Old Style" w:cs="Calibri"/>
          <w:szCs w:val="24"/>
        </w:rPr>
        <w:t xml:space="preserve"> Además, en diferentes regiones de conflicto es común que los agricultores de subsistencia se vean atrapados en disputas entre grupos armados, como ha sido el caso en Colombia.</w:t>
      </w:r>
    </w:p>
    <w:p w:rsidR="007E2A01" w:rsidRPr="00485CC5" w:rsidRDefault="007E2A01" w:rsidP="007E2A01">
      <w:pPr>
        <w:pStyle w:val="Prrafodelista"/>
        <w:spacing w:after="0" w:line="240" w:lineRule="auto"/>
        <w:jc w:val="both"/>
        <w:rPr>
          <w:rFonts w:ascii="Bookman Old Style" w:hAnsi="Bookman Old Style" w:cs="Calibri"/>
          <w:szCs w:val="24"/>
        </w:rPr>
      </w:pPr>
    </w:p>
    <w:p w:rsidR="007E2A01" w:rsidRPr="00485CC5" w:rsidRDefault="007E2A01" w:rsidP="007E2A01">
      <w:pPr>
        <w:pStyle w:val="Prrafodelista"/>
        <w:numPr>
          <w:ilvl w:val="0"/>
          <w:numId w:val="5"/>
        </w:numPr>
        <w:spacing w:after="0" w:line="240" w:lineRule="auto"/>
        <w:jc w:val="both"/>
        <w:rPr>
          <w:rFonts w:ascii="Bookman Old Style" w:hAnsi="Bookman Old Style" w:cs="Calibri"/>
          <w:szCs w:val="24"/>
        </w:rPr>
      </w:pPr>
      <w:r w:rsidRPr="00485CC5">
        <w:rPr>
          <w:rFonts w:ascii="Bookman Old Style" w:hAnsi="Bookman Old Style" w:cs="Calibri"/>
          <w:szCs w:val="24"/>
        </w:rPr>
        <w:t>ODS 3 (salud y bienestar): si bien el consumo de drogas permea todos los grupos sociales, las políticas represivas y “</w:t>
      </w:r>
      <w:r w:rsidRPr="00485CC5">
        <w:rPr>
          <w:rFonts w:ascii="Bookman Old Style" w:hAnsi="Bookman Old Style" w:cs="Calibri"/>
          <w:i/>
          <w:iCs/>
          <w:szCs w:val="24"/>
        </w:rPr>
        <w:t>falta de acceso sociales y de salud (que incluyen la reducción y el tratamiento del daño, pero también la atención médica general) suelen afectar a los segmentos más pobres y marginados de la sociedad</w:t>
      </w:r>
      <w:r w:rsidRPr="00485CC5">
        <w:rPr>
          <w:rFonts w:ascii="Bookman Old Style" w:hAnsi="Bookman Old Style" w:cs="Calibri"/>
          <w:szCs w:val="24"/>
        </w:rPr>
        <w:t>”.</w:t>
      </w:r>
      <w:r w:rsidRPr="00485CC5">
        <w:rPr>
          <w:rStyle w:val="Refdenotaalpie"/>
          <w:rFonts w:ascii="Bookman Old Style" w:hAnsi="Bookman Old Style" w:cs="Calibri"/>
          <w:szCs w:val="24"/>
        </w:rPr>
        <w:footnoteReference w:id="117"/>
      </w:r>
      <w:r w:rsidRPr="00485CC5">
        <w:rPr>
          <w:rFonts w:ascii="Bookman Old Style" w:hAnsi="Bookman Old Style" w:cs="Calibri"/>
          <w:szCs w:val="24"/>
        </w:rPr>
        <w:t xml:space="preserve"> Criminalizar a las personas que consumen drogas solamente aumenta más su exclusión del empleo, salud y servicios sociales.</w:t>
      </w:r>
    </w:p>
    <w:p w:rsidR="007E2A01" w:rsidRPr="00485CC5" w:rsidRDefault="007E2A01" w:rsidP="007E2A01">
      <w:pPr>
        <w:pStyle w:val="Prrafodelista"/>
        <w:spacing w:after="0" w:line="240" w:lineRule="auto"/>
        <w:jc w:val="both"/>
        <w:rPr>
          <w:rFonts w:ascii="Bookman Old Style" w:hAnsi="Bookman Old Style" w:cs="Calibri"/>
          <w:szCs w:val="24"/>
        </w:rPr>
      </w:pPr>
    </w:p>
    <w:p w:rsidR="007E2A01" w:rsidRPr="00485CC5" w:rsidRDefault="007E2A01" w:rsidP="007E2A01">
      <w:pPr>
        <w:pStyle w:val="Prrafodelista"/>
        <w:numPr>
          <w:ilvl w:val="0"/>
          <w:numId w:val="5"/>
        </w:numPr>
        <w:spacing w:after="0" w:line="240" w:lineRule="auto"/>
        <w:jc w:val="both"/>
        <w:rPr>
          <w:rFonts w:ascii="Bookman Old Style" w:hAnsi="Bookman Old Style" w:cs="Calibri"/>
          <w:szCs w:val="24"/>
        </w:rPr>
      </w:pPr>
      <w:r w:rsidRPr="00485CC5">
        <w:rPr>
          <w:rFonts w:ascii="Bookman Old Style" w:hAnsi="Bookman Old Style" w:cs="Calibri"/>
          <w:szCs w:val="24"/>
        </w:rPr>
        <w:t>ODS 5 (Igualdad de género): las personas atrapadas en el tráfico de drogas son especialmente vulnerables y las acciones represivas por parte del Estado pueden llevar a un aumento de la corrupción, hacinamiento en las cárceles y agravamiento de la pobreza.</w:t>
      </w:r>
      <w:r w:rsidRPr="00485CC5">
        <w:rPr>
          <w:rStyle w:val="Refdenotaalpie"/>
          <w:rFonts w:ascii="Bookman Old Style" w:hAnsi="Bookman Old Style" w:cs="Calibri"/>
          <w:szCs w:val="24"/>
        </w:rPr>
        <w:footnoteReference w:id="118"/>
      </w:r>
      <w:r w:rsidRPr="00485CC5">
        <w:rPr>
          <w:rFonts w:ascii="Bookman Old Style" w:hAnsi="Bookman Old Style" w:cs="Calibri"/>
          <w:szCs w:val="24"/>
        </w:rPr>
        <w:t xml:space="preserve"> Las mujeres son más propensas a participar en el tráfico de drogas ilegales, debido a que las desigualdades de género “</w:t>
      </w:r>
      <w:r w:rsidRPr="00485CC5">
        <w:rPr>
          <w:rFonts w:ascii="Bookman Old Style" w:hAnsi="Bookman Old Style" w:cs="Calibri"/>
          <w:i/>
          <w:iCs/>
          <w:szCs w:val="24"/>
        </w:rPr>
        <w:t>obstaculizan su acceso a la educación y al empleo</w:t>
      </w:r>
      <w:r w:rsidRPr="00485CC5">
        <w:rPr>
          <w:rFonts w:ascii="Bookman Old Style" w:hAnsi="Bookman Old Style" w:cs="Calibri"/>
          <w:szCs w:val="24"/>
        </w:rPr>
        <w:t>”.</w:t>
      </w:r>
      <w:r w:rsidRPr="00485CC5">
        <w:rPr>
          <w:rStyle w:val="Refdenotaalpie"/>
          <w:rFonts w:ascii="Bookman Old Style" w:hAnsi="Bookman Old Style" w:cs="Calibri"/>
          <w:szCs w:val="24"/>
        </w:rPr>
        <w:footnoteReference w:id="119"/>
      </w:r>
      <w:r w:rsidRPr="00485CC5">
        <w:rPr>
          <w:rFonts w:ascii="Bookman Old Style" w:hAnsi="Bookman Old Style" w:cs="Calibri"/>
          <w:szCs w:val="24"/>
        </w:rPr>
        <w:t xml:space="preserve"> En América Latina la gran mayoría de las mujeres que participan en actividades de drogas ilícitas son madres solteras en condiciones de vulnerabilidad y sin formación formal, con pocas oportunidades en el mercado laboral.</w:t>
      </w:r>
      <w:r w:rsidRPr="00485CC5">
        <w:rPr>
          <w:rStyle w:val="Refdenotaalpie"/>
          <w:rFonts w:ascii="Bookman Old Style" w:hAnsi="Bookman Old Style" w:cs="Calibri"/>
          <w:szCs w:val="24"/>
        </w:rPr>
        <w:footnoteReference w:id="120"/>
      </w:r>
      <w:r w:rsidRPr="00485CC5">
        <w:rPr>
          <w:rFonts w:ascii="Bookman Old Style" w:hAnsi="Bookman Old Style" w:cs="Calibri"/>
          <w:szCs w:val="24"/>
        </w:rPr>
        <w:t xml:space="preserve"> Más allá, su encarcelamiento exacerba su problemática, afectando directamente a sus hijos y creando ciclos de pobreza y delincuencia. Lo anterior está ligado con el ODS 8 (trabajo decente y crecimiento económico) y la problemática que encuentran las personas al dejar los centros de reclusión para encontrar trabajo.</w:t>
      </w:r>
      <w:r w:rsidRPr="00485CC5">
        <w:rPr>
          <w:rStyle w:val="Refdenotaalpie"/>
          <w:rFonts w:ascii="Bookman Old Style" w:hAnsi="Bookman Old Style" w:cs="Calibri"/>
          <w:szCs w:val="24"/>
        </w:rPr>
        <w:footnoteReference w:id="121"/>
      </w:r>
    </w:p>
    <w:p w:rsidR="007E2A01" w:rsidRPr="00485CC5" w:rsidRDefault="007E2A01" w:rsidP="007E2A01">
      <w:pPr>
        <w:pStyle w:val="Prrafodelista"/>
        <w:spacing w:after="0" w:line="240" w:lineRule="auto"/>
        <w:jc w:val="both"/>
        <w:rPr>
          <w:rFonts w:ascii="Bookman Old Style" w:hAnsi="Bookman Old Style" w:cs="Calibri"/>
          <w:szCs w:val="24"/>
        </w:rPr>
      </w:pPr>
    </w:p>
    <w:p w:rsidR="007E2A01" w:rsidRPr="00485CC5" w:rsidRDefault="007E2A01" w:rsidP="007E2A01">
      <w:pPr>
        <w:pStyle w:val="Prrafodelista"/>
        <w:numPr>
          <w:ilvl w:val="0"/>
          <w:numId w:val="5"/>
        </w:numPr>
        <w:spacing w:after="0" w:line="240" w:lineRule="auto"/>
        <w:jc w:val="both"/>
        <w:rPr>
          <w:rFonts w:ascii="Bookman Old Style" w:hAnsi="Bookman Old Style" w:cs="Calibri"/>
          <w:szCs w:val="24"/>
        </w:rPr>
      </w:pPr>
      <w:r w:rsidRPr="00485CC5">
        <w:rPr>
          <w:rFonts w:ascii="Bookman Old Style" w:hAnsi="Bookman Old Style" w:cs="Calibri"/>
          <w:szCs w:val="24"/>
        </w:rPr>
        <w:t>ODS 16 (paz, justicia e instituciones sólidas): Las políticas punitivas y la guerra dura contra las drogas como ha sido planteada hasta ahora no ha logrado reducir significativamente el mercado, de acuerdo a las Naciones Unidas y la literatura científica.</w:t>
      </w:r>
      <w:r w:rsidRPr="00485CC5">
        <w:rPr>
          <w:rStyle w:val="Refdenotaalpie"/>
          <w:rFonts w:ascii="Bookman Old Style" w:hAnsi="Bookman Old Style" w:cs="Calibri"/>
          <w:szCs w:val="24"/>
        </w:rPr>
        <w:footnoteReference w:id="122"/>
      </w:r>
      <w:r w:rsidRPr="00485CC5">
        <w:rPr>
          <w:rFonts w:ascii="Bookman Old Style" w:hAnsi="Bookman Old Style" w:cs="Calibri"/>
          <w:szCs w:val="24"/>
        </w:rPr>
        <w:t xml:space="preserve"> Los sistemas de justicia y penales se han visto inundados de casos relacionados con delincuentes menores, agotando recursos ya escasos para atender a la justicia y no enfocándose en los verdaderos actores violentos.</w:t>
      </w:r>
      <w:r w:rsidRPr="00485CC5">
        <w:rPr>
          <w:rStyle w:val="Refdenotaalpie"/>
          <w:rFonts w:ascii="Bookman Old Style" w:hAnsi="Bookman Old Style" w:cs="Calibri"/>
          <w:szCs w:val="24"/>
        </w:rPr>
        <w:footnoteReference w:id="123"/>
      </w:r>
      <w:r w:rsidRPr="00485CC5">
        <w:rPr>
          <w:rFonts w:ascii="Bookman Old Style" w:hAnsi="Bookman Old Style" w:cs="Calibri"/>
          <w:szCs w:val="24"/>
        </w:rPr>
        <w:t xml:space="preserve"> Adicionalmente, las políticas represivas han llevado a encarcelamientos masivos y problemas de hacinamiento.</w:t>
      </w:r>
      <w:r w:rsidRPr="00485CC5">
        <w:rPr>
          <w:rStyle w:val="Refdenotaalpie"/>
          <w:rFonts w:ascii="Bookman Old Style" w:hAnsi="Bookman Old Style" w:cs="Calibri"/>
          <w:szCs w:val="24"/>
        </w:rPr>
        <w:footnoteReference w:id="124"/>
      </w:r>
    </w:p>
    <w:p w:rsidR="007E2A01" w:rsidRPr="00485CC5" w:rsidRDefault="007E2A01" w:rsidP="007E2A01">
      <w:pPr>
        <w:pStyle w:val="Prrafodelista"/>
        <w:spacing w:after="0" w:line="240" w:lineRule="auto"/>
        <w:rPr>
          <w:rFonts w:ascii="Bookman Old Style" w:hAnsi="Bookman Old Style" w:cs="Calibri"/>
          <w:szCs w:val="24"/>
        </w:rPr>
      </w:pPr>
    </w:p>
    <w:p w:rsidR="007E2A01" w:rsidRPr="00485CC5" w:rsidRDefault="007E2A01" w:rsidP="007E2A01">
      <w:pPr>
        <w:pStyle w:val="Prrafodelista"/>
        <w:spacing w:after="0" w:line="240" w:lineRule="auto"/>
        <w:jc w:val="both"/>
        <w:rPr>
          <w:rFonts w:ascii="Bookman Old Style" w:hAnsi="Bookman Old Style" w:cs="Calibri"/>
          <w:szCs w:val="24"/>
        </w:rPr>
      </w:pPr>
      <w:r w:rsidRPr="00485CC5">
        <w:rPr>
          <w:rFonts w:ascii="Bookman Old Style" w:hAnsi="Bookman Old Style" w:cs="Calibri"/>
          <w:szCs w:val="24"/>
        </w:rPr>
        <w:lastRenderedPageBreak/>
        <w:t>Las mujeres en América Latina son la población carcelaria de mayor crecimiento, lo cual va en contravía del ODS 10 (reducción de las desigualdades) pues las leyes antidrogas son especialmente aplicadas a grupos minoritarios. Así mismo, el tamaño del mercado ilegal de las drogas ha generado incentivos para que haya corrupción y las instituciones del Estado sean cooptadas.</w:t>
      </w:r>
      <w:r w:rsidRPr="00485CC5">
        <w:rPr>
          <w:rStyle w:val="Refdenotaalpie"/>
          <w:rFonts w:ascii="Bookman Old Style" w:hAnsi="Bookman Old Style" w:cs="Calibri"/>
          <w:szCs w:val="24"/>
        </w:rPr>
        <w:footnoteReference w:id="125"/>
      </w:r>
    </w:p>
    <w:p w:rsidR="007E2A01" w:rsidRPr="00485CC5" w:rsidRDefault="007E2A01" w:rsidP="007E2A01">
      <w:pPr>
        <w:jc w:val="both"/>
        <w:rPr>
          <w:rFonts w:ascii="Bookman Old Style" w:hAnsi="Bookman Old Style" w:cs="Calibri"/>
          <w:szCs w:val="24"/>
        </w:rPr>
      </w:pPr>
    </w:p>
    <w:p w:rsidR="007E2A01" w:rsidRPr="00485CC5" w:rsidRDefault="007E2A01" w:rsidP="007E2A01">
      <w:pPr>
        <w:jc w:val="both"/>
        <w:rPr>
          <w:rFonts w:ascii="Bookman Old Style" w:hAnsi="Bookman Old Style" w:cs="Calibri"/>
          <w:szCs w:val="24"/>
        </w:rPr>
      </w:pPr>
      <w:r w:rsidRPr="00485CC5">
        <w:rPr>
          <w:rFonts w:ascii="Bookman Old Style" w:hAnsi="Bookman Old Style" w:cs="Calibri"/>
          <w:szCs w:val="24"/>
        </w:rPr>
        <w:t>Por otra parte, también la Comisión replantea la manera de medir indicadores de control de drogas a partir indicadores de los ODS. Algunas de las propuestas son</w:t>
      </w:r>
      <w:r w:rsidRPr="00485CC5">
        <w:rPr>
          <w:rStyle w:val="Refdenotaalpie"/>
          <w:rFonts w:ascii="Bookman Old Style" w:hAnsi="Bookman Old Style" w:cs="Calibri"/>
          <w:szCs w:val="24"/>
        </w:rPr>
        <w:footnoteReference w:id="126"/>
      </w:r>
      <w:r w:rsidRPr="00485CC5">
        <w:rPr>
          <w:rFonts w:ascii="Bookman Old Style" w:hAnsi="Bookman Old Style" w:cs="Calibri"/>
          <w:szCs w:val="24"/>
        </w:rPr>
        <w:t>:</w:t>
      </w:r>
    </w:p>
    <w:p w:rsidR="007E2A01" w:rsidRPr="00485CC5" w:rsidRDefault="007E2A01" w:rsidP="007E2A01">
      <w:pPr>
        <w:jc w:val="both"/>
        <w:rPr>
          <w:rFonts w:ascii="Bookman Old Style" w:hAnsi="Bookman Old Style" w:cs="Calibri"/>
          <w:szCs w:val="24"/>
        </w:rPr>
      </w:pPr>
    </w:p>
    <w:p w:rsidR="007E2A01" w:rsidRDefault="007E2A01" w:rsidP="007E2A01">
      <w:pPr>
        <w:pStyle w:val="Prrafodelista"/>
        <w:numPr>
          <w:ilvl w:val="0"/>
          <w:numId w:val="6"/>
        </w:numPr>
        <w:spacing w:after="0" w:line="240" w:lineRule="auto"/>
        <w:jc w:val="both"/>
        <w:rPr>
          <w:rFonts w:ascii="Bookman Old Style" w:hAnsi="Bookman Old Style" w:cs="Calibri"/>
          <w:szCs w:val="24"/>
        </w:rPr>
      </w:pPr>
      <w:r w:rsidRPr="00485CC5">
        <w:rPr>
          <w:rFonts w:ascii="Bookman Old Style" w:hAnsi="Bookman Old Style" w:cs="Calibri"/>
          <w:szCs w:val="24"/>
        </w:rPr>
        <w:t>ODS 1: Hectáreas de cultivos erradicados vs. Pobreza en las familias donde los cultivos ilícitos son predominante fuente de ingreso.</w:t>
      </w:r>
    </w:p>
    <w:p w:rsidR="007E2A01" w:rsidRPr="00485CC5" w:rsidRDefault="007E2A01" w:rsidP="007E2A01">
      <w:pPr>
        <w:pStyle w:val="Prrafodelista"/>
        <w:spacing w:after="0" w:line="240" w:lineRule="auto"/>
        <w:jc w:val="both"/>
        <w:rPr>
          <w:rFonts w:ascii="Bookman Old Style" w:hAnsi="Bookman Old Style" w:cs="Calibri"/>
          <w:szCs w:val="24"/>
        </w:rPr>
      </w:pPr>
    </w:p>
    <w:p w:rsidR="007E2A01" w:rsidRDefault="007E2A01" w:rsidP="007E2A01">
      <w:pPr>
        <w:pStyle w:val="Prrafodelista"/>
        <w:numPr>
          <w:ilvl w:val="0"/>
          <w:numId w:val="6"/>
        </w:numPr>
        <w:spacing w:after="0" w:line="240" w:lineRule="auto"/>
        <w:jc w:val="both"/>
        <w:rPr>
          <w:rFonts w:ascii="Bookman Old Style" w:hAnsi="Bookman Old Style" w:cs="Calibri"/>
          <w:szCs w:val="24"/>
        </w:rPr>
      </w:pPr>
      <w:r w:rsidRPr="00485CC5">
        <w:rPr>
          <w:rFonts w:ascii="Bookman Old Style" w:hAnsi="Bookman Old Style" w:cs="Calibri"/>
          <w:szCs w:val="24"/>
        </w:rPr>
        <w:t>ODS 5: número de Micro traficantes encarcelados vs. número de mujeres encarceladas por primera vez por delitos menores relacionados con drogas.</w:t>
      </w:r>
    </w:p>
    <w:p w:rsidR="007E2A01" w:rsidRPr="00621929" w:rsidRDefault="007E2A01" w:rsidP="007E2A01">
      <w:pPr>
        <w:pStyle w:val="Prrafodelista"/>
        <w:rPr>
          <w:rFonts w:ascii="Bookman Old Style" w:hAnsi="Bookman Old Style" w:cs="Calibri"/>
          <w:szCs w:val="24"/>
        </w:rPr>
      </w:pPr>
    </w:p>
    <w:p w:rsidR="007E2A01" w:rsidRDefault="007E2A01" w:rsidP="007E2A01">
      <w:pPr>
        <w:pStyle w:val="Prrafodelista"/>
        <w:numPr>
          <w:ilvl w:val="0"/>
          <w:numId w:val="6"/>
        </w:numPr>
        <w:spacing w:after="0" w:line="240" w:lineRule="auto"/>
        <w:jc w:val="both"/>
        <w:rPr>
          <w:rFonts w:ascii="Bookman Old Style" w:hAnsi="Bookman Old Style" w:cs="Calibri"/>
          <w:szCs w:val="24"/>
        </w:rPr>
      </w:pPr>
      <w:r w:rsidRPr="0049598F">
        <w:rPr>
          <w:rFonts w:ascii="Bookman Old Style" w:hAnsi="Bookman Old Style" w:cs="Calibri"/>
          <w:szCs w:val="24"/>
        </w:rPr>
        <w:t>ODS 16: número de personas procesadas en el sistema penal por delitos relacionados con drogas vs. número de personas acusadas de delitos no violentos relacionados con drogas que se han visto beneficiados de alternativas de encarcelamiento.</w:t>
      </w:r>
    </w:p>
    <w:p w:rsidR="007E2A01" w:rsidRPr="00485CC5" w:rsidRDefault="007E2A01" w:rsidP="007E2A01"/>
    <w:p w:rsidR="007E2A01" w:rsidRPr="00485CC5" w:rsidRDefault="007E2A01" w:rsidP="007E2A01">
      <w:pPr>
        <w:jc w:val="both"/>
        <w:rPr>
          <w:rFonts w:ascii="Bookman Old Style" w:hAnsi="Bookman Old Style" w:cs="Calibri"/>
          <w:szCs w:val="24"/>
        </w:rPr>
      </w:pPr>
      <w:r w:rsidRPr="00485CC5">
        <w:rPr>
          <w:rFonts w:ascii="Bookman Old Style" w:hAnsi="Bookman Old Style" w:cs="Calibri"/>
          <w:szCs w:val="24"/>
        </w:rPr>
        <w:t>Finalmente, debemos resaltar que la Comisión Global de Políticas de Drogas recomienda que la lucha contra las drogas de la manera como ha sido planteada (prohibición y persecución del consumidor), ha marginado a personas vulnerables y causado “</w:t>
      </w:r>
      <w:r w:rsidRPr="00485CC5">
        <w:rPr>
          <w:rFonts w:ascii="Bookman Old Style" w:hAnsi="Bookman Old Style" w:cs="Calibri"/>
          <w:i/>
          <w:iCs/>
          <w:szCs w:val="24"/>
        </w:rPr>
        <w:t>daños graves en los sectores de la sociedad, la educación y la economía</w:t>
      </w:r>
      <w:r w:rsidRPr="00485CC5">
        <w:rPr>
          <w:rFonts w:ascii="Bookman Old Style" w:hAnsi="Bookman Old Style" w:cs="Calibri"/>
          <w:szCs w:val="24"/>
        </w:rPr>
        <w:t>”.</w:t>
      </w:r>
      <w:r w:rsidRPr="00485CC5">
        <w:rPr>
          <w:rStyle w:val="Refdenotaalpie"/>
          <w:rFonts w:ascii="Bookman Old Style" w:hAnsi="Bookman Old Style" w:cs="Calibri"/>
          <w:szCs w:val="24"/>
        </w:rPr>
        <w:footnoteReference w:id="127"/>
      </w:r>
      <w:r w:rsidRPr="00485CC5">
        <w:rPr>
          <w:rFonts w:ascii="Bookman Old Style" w:hAnsi="Bookman Old Style" w:cs="Calibri"/>
          <w:szCs w:val="24"/>
        </w:rPr>
        <w:t xml:space="preserve"> Además, señala que “</w:t>
      </w:r>
      <w:r w:rsidRPr="00485CC5">
        <w:rPr>
          <w:rFonts w:ascii="Bookman Old Style" w:hAnsi="Bookman Old Style" w:cs="Calibri"/>
          <w:i/>
          <w:iCs/>
          <w:szCs w:val="24"/>
        </w:rPr>
        <w:t>los países deben considerar la política de drogas como parte de una deliberación más amplia sobre el tipo de sociedades que desean lograr para 2030 y cuán inclusivas deberían ser esas sociedades. Como respuesta a cuestiones tan trascendentales, los países deberían avanzar hacia la regulación de las drogas actualmente ilegales, con miras a sacar el mercado ilegal de las manos de la delincuencia organizada y garantizar la salud, la seguridad, la dignidad y el desarrollo equitativo de sus poblaciones</w:t>
      </w:r>
      <w:r w:rsidRPr="00485CC5">
        <w:rPr>
          <w:rFonts w:ascii="Bookman Old Style" w:hAnsi="Bookman Old Style" w:cs="Calibri"/>
          <w:szCs w:val="24"/>
        </w:rPr>
        <w:t>”.</w:t>
      </w:r>
      <w:r w:rsidRPr="00485CC5">
        <w:rPr>
          <w:rStyle w:val="Refdenotaalpie"/>
          <w:rFonts w:ascii="Bookman Old Style" w:hAnsi="Bookman Old Style" w:cs="Calibri"/>
          <w:szCs w:val="24"/>
        </w:rPr>
        <w:footnoteReference w:id="128"/>
      </w:r>
    </w:p>
    <w:p w:rsidR="007E2A01" w:rsidRPr="00485CC5" w:rsidRDefault="007E2A01" w:rsidP="007E2A01">
      <w:pPr>
        <w:pStyle w:val="NormalWeb"/>
        <w:spacing w:before="0" w:beforeAutospacing="0" w:after="0" w:afterAutospacing="0"/>
        <w:ind w:right="115"/>
        <w:jc w:val="both"/>
        <w:rPr>
          <w:rFonts w:ascii="Bookman Old Style" w:hAnsi="Bookman Old Style" w:cs="Calibri"/>
          <w:sz w:val="22"/>
        </w:rPr>
      </w:pPr>
    </w:p>
    <w:p w:rsidR="007E2A01" w:rsidRPr="00485CC5" w:rsidRDefault="007E2A01" w:rsidP="007E2A01">
      <w:pPr>
        <w:rPr>
          <w:rFonts w:ascii="Bookman Old Style" w:eastAsia="Calibri" w:hAnsi="Bookman Old Style" w:cs="Calibri"/>
          <w:szCs w:val="24"/>
        </w:rPr>
      </w:pPr>
    </w:p>
    <w:p w:rsidR="007E2A01" w:rsidRPr="00485CC5" w:rsidRDefault="007E2A01" w:rsidP="007E2A01">
      <w:pPr>
        <w:pStyle w:val="Ttulo2"/>
        <w:numPr>
          <w:ilvl w:val="0"/>
          <w:numId w:val="35"/>
        </w:numPr>
        <w:jc w:val="center"/>
        <w:rPr>
          <w:rFonts w:ascii="Bookman Old Style" w:eastAsia="Calibri" w:hAnsi="Bookman Old Style" w:cs="Calibri"/>
          <w:sz w:val="22"/>
          <w:szCs w:val="24"/>
        </w:rPr>
      </w:pPr>
      <w:r w:rsidRPr="00485CC5">
        <w:rPr>
          <w:rFonts w:ascii="Bookman Old Style" w:eastAsia="Calibri" w:hAnsi="Bookman Old Style" w:cs="Calibri"/>
          <w:sz w:val="22"/>
          <w:szCs w:val="24"/>
        </w:rPr>
        <w:t>CONCLUSIONES</w:t>
      </w:r>
    </w:p>
    <w:p w:rsidR="007E2A01" w:rsidRPr="00485CC5" w:rsidRDefault="007E2A01" w:rsidP="007E2A01">
      <w:pPr>
        <w:pBdr>
          <w:top w:val="nil"/>
          <w:left w:val="nil"/>
          <w:bottom w:val="nil"/>
          <w:right w:val="nil"/>
          <w:between w:val="nil"/>
        </w:pBdr>
        <w:rPr>
          <w:rFonts w:ascii="Bookman Old Style" w:eastAsia="Calibri" w:hAnsi="Bookman Old Style" w:cs="Calibri"/>
          <w:szCs w:val="24"/>
        </w:rPr>
      </w:pPr>
    </w:p>
    <w:p w:rsidR="007E2A01" w:rsidRPr="00485CC5" w:rsidRDefault="007E2A01" w:rsidP="007E2A01">
      <w:pPr>
        <w:pStyle w:val="NormalWeb"/>
        <w:spacing w:before="0" w:beforeAutospacing="0" w:after="0" w:afterAutospacing="0"/>
        <w:ind w:right="115"/>
        <w:jc w:val="both"/>
        <w:rPr>
          <w:rFonts w:ascii="Bookman Old Style" w:eastAsia="Calibri" w:hAnsi="Bookman Old Style" w:cs="Calibri"/>
          <w:sz w:val="22"/>
          <w:szCs w:val="28"/>
          <w:lang w:val="es-ES_tradnl"/>
        </w:rPr>
      </w:pPr>
      <w:r w:rsidRPr="00485CC5">
        <w:rPr>
          <w:rFonts w:ascii="Bookman Old Style" w:eastAsia="Calibri" w:hAnsi="Bookman Old Style" w:cs="Calibri"/>
          <w:sz w:val="22"/>
          <w:szCs w:val="28"/>
        </w:rPr>
        <w:t xml:space="preserve">Según lo expuesto podemos afirmar que el presente </w:t>
      </w:r>
      <w:r w:rsidRPr="00485CC5">
        <w:rPr>
          <w:rFonts w:ascii="Bookman Old Style" w:eastAsia="Calibri" w:hAnsi="Bookman Old Style" w:cs="Calibri"/>
          <w:sz w:val="22"/>
          <w:szCs w:val="28"/>
          <w:lang w:val="es-ES_tradnl"/>
        </w:rPr>
        <w:t xml:space="preserve">Proyecto de Acto Legislativo es necesario, en razón a que: </w:t>
      </w:r>
    </w:p>
    <w:p w:rsidR="007E2A01" w:rsidRPr="00485CC5" w:rsidRDefault="007E2A01" w:rsidP="007E2A01">
      <w:pPr>
        <w:pStyle w:val="NormalWeb"/>
        <w:spacing w:before="0" w:beforeAutospacing="0" w:after="0" w:afterAutospacing="0"/>
        <w:ind w:right="115"/>
        <w:jc w:val="both"/>
        <w:rPr>
          <w:rFonts w:ascii="Bookman Old Style" w:eastAsia="Calibri" w:hAnsi="Bookman Old Style" w:cs="Calibri"/>
          <w:sz w:val="22"/>
          <w:szCs w:val="28"/>
          <w:lang w:val="es-ES_tradnl"/>
        </w:rPr>
      </w:pPr>
    </w:p>
    <w:p w:rsidR="007E2A01" w:rsidRPr="005C5218" w:rsidRDefault="007E2A01" w:rsidP="007E2A01">
      <w:pPr>
        <w:pStyle w:val="NormalWeb"/>
        <w:numPr>
          <w:ilvl w:val="0"/>
          <w:numId w:val="32"/>
        </w:numPr>
        <w:spacing w:before="0" w:beforeAutospacing="0" w:after="0" w:afterAutospacing="0"/>
        <w:ind w:right="115"/>
        <w:jc w:val="both"/>
        <w:rPr>
          <w:rFonts w:ascii="Bookman Old Style" w:eastAsia="Calibri" w:hAnsi="Bookman Old Style" w:cs="Calibri"/>
          <w:sz w:val="22"/>
          <w:szCs w:val="28"/>
          <w:lang w:val="es-ES_tradnl"/>
        </w:rPr>
      </w:pPr>
      <w:r w:rsidRPr="00485CC5">
        <w:rPr>
          <w:rFonts w:ascii="Bookman Old Style" w:eastAsia="Calibri" w:hAnsi="Bookman Old Style" w:cs="Calibri"/>
          <w:sz w:val="22"/>
          <w:szCs w:val="28"/>
          <w:lang w:val="es-ES_tradnl"/>
        </w:rPr>
        <w:t>Corrige la contradicción constitución/ley que se encuentra vigente frente al uso científico del cannabis.</w:t>
      </w:r>
    </w:p>
    <w:p w:rsidR="007E2A01" w:rsidRPr="005C5218" w:rsidRDefault="007E2A01" w:rsidP="007E2A01">
      <w:pPr>
        <w:pStyle w:val="NormalWeb"/>
        <w:numPr>
          <w:ilvl w:val="0"/>
          <w:numId w:val="32"/>
        </w:numPr>
        <w:spacing w:before="0" w:beforeAutospacing="0" w:after="0" w:afterAutospacing="0"/>
        <w:ind w:right="115"/>
        <w:jc w:val="both"/>
        <w:rPr>
          <w:rFonts w:ascii="Bookman Old Style" w:eastAsia="Calibri" w:hAnsi="Bookman Old Style" w:cs="Calibri"/>
          <w:sz w:val="22"/>
          <w:szCs w:val="28"/>
          <w:lang w:val="es-ES_tradnl"/>
        </w:rPr>
      </w:pPr>
      <w:r w:rsidRPr="00485CC5">
        <w:rPr>
          <w:rFonts w:ascii="Bookman Old Style" w:eastAsia="Calibri" w:hAnsi="Bookman Old Style" w:cs="Calibri"/>
          <w:sz w:val="22"/>
          <w:szCs w:val="28"/>
          <w:lang w:val="es-ES_tradnl"/>
        </w:rPr>
        <w:lastRenderedPageBreak/>
        <w:t xml:space="preserve">Evita la intromisión del Estado frente al derecho del libre desarrollo de la personalidad, permitiendo que los ciudadanos puedan decidir sobre el consumo del cannabis en un marco legal regulado. </w:t>
      </w:r>
    </w:p>
    <w:p w:rsidR="007E2A01" w:rsidRPr="005C5218" w:rsidRDefault="007E2A01" w:rsidP="007E2A01">
      <w:pPr>
        <w:pStyle w:val="NormalWeb"/>
        <w:numPr>
          <w:ilvl w:val="0"/>
          <w:numId w:val="32"/>
        </w:numPr>
        <w:spacing w:before="0" w:beforeAutospacing="0" w:after="0" w:afterAutospacing="0"/>
        <w:ind w:right="115"/>
        <w:jc w:val="both"/>
        <w:rPr>
          <w:rFonts w:ascii="Bookman Old Style" w:eastAsia="Calibri" w:hAnsi="Bookman Old Style" w:cs="Calibri"/>
          <w:sz w:val="22"/>
          <w:szCs w:val="28"/>
          <w:lang w:val="es-ES_tradnl"/>
        </w:rPr>
      </w:pPr>
      <w:r w:rsidRPr="00485CC5">
        <w:rPr>
          <w:rFonts w:ascii="Bookman Old Style" w:eastAsia="Calibri" w:hAnsi="Bookman Old Style" w:cs="Calibri"/>
          <w:sz w:val="22"/>
          <w:szCs w:val="28"/>
          <w:lang w:val="es-ES_tradnl"/>
        </w:rPr>
        <w:t>Evita tratos discriminatorios o desiguales arbitrarios frente a la población que consume.</w:t>
      </w:r>
    </w:p>
    <w:p w:rsidR="007E2A01" w:rsidRPr="005C5218" w:rsidRDefault="007E2A01" w:rsidP="007E2A01">
      <w:pPr>
        <w:pStyle w:val="NormalWeb"/>
        <w:numPr>
          <w:ilvl w:val="0"/>
          <w:numId w:val="32"/>
        </w:numPr>
        <w:spacing w:before="0" w:beforeAutospacing="0" w:after="0" w:afterAutospacing="0"/>
        <w:ind w:right="115"/>
        <w:jc w:val="both"/>
        <w:rPr>
          <w:rFonts w:ascii="Bookman Old Style" w:eastAsia="Calibri" w:hAnsi="Bookman Old Style" w:cs="Calibri"/>
          <w:sz w:val="22"/>
          <w:szCs w:val="28"/>
          <w:lang w:val="es-ES_tradnl"/>
        </w:rPr>
      </w:pPr>
      <w:r w:rsidRPr="00485CC5">
        <w:rPr>
          <w:rFonts w:ascii="Bookman Old Style" w:eastAsia="Calibri" w:hAnsi="Bookman Old Style" w:cs="Calibri"/>
          <w:sz w:val="22"/>
          <w:szCs w:val="28"/>
          <w:lang w:val="es-ES_tradnl"/>
        </w:rPr>
        <w:t>Fortalece el enfoque de política pública en salud en el que se considera al adicto como una persona que merece un tratamiento y no como un criminal.</w:t>
      </w:r>
    </w:p>
    <w:p w:rsidR="007E2A01" w:rsidRPr="005C5218" w:rsidRDefault="007E2A01" w:rsidP="007E2A01">
      <w:pPr>
        <w:pStyle w:val="NormalWeb"/>
        <w:numPr>
          <w:ilvl w:val="0"/>
          <w:numId w:val="32"/>
        </w:numPr>
        <w:spacing w:before="0" w:beforeAutospacing="0" w:after="0" w:afterAutospacing="0"/>
        <w:ind w:right="115"/>
        <w:jc w:val="both"/>
        <w:rPr>
          <w:rFonts w:ascii="Bookman Old Style" w:eastAsia="Calibri" w:hAnsi="Bookman Old Style" w:cs="Calibri"/>
          <w:sz w:val="22"/>
          <w:szCs w:val="28"/>
          <w:lang w:val="es-ES_tradnl"/>
        </w:rPr>
      </w:pPr>
      <w:r w:rsidRPr="00485CC5">
        <w:rPr>
          <w:rFonts w:ascii="Bookman Old Style" w:eastAsia="Calibri" w:hAnsi="Bookman Old Style" w:cs="Calibri"/>
          <w:sz w:val="22"/>
          <w:szCs w:val="28"/>
          <w:lang w:val="es-ES_tradnl"/>
        </w:rPr>
        <w:t>Ofrece la oportunidad de dar apertura a un mercado legal nuevo y prometedor con resultados positivos demostrables en el ámbito internacional.</w:t>
      </w:r>
    </w:p>
    <w:p w:rsidR="007E2A01" w:rsidRPr="005C5218" w:rsidRDefault="007E2A01" w:rsidP="007E2A01">
      <w:pPr>
        <w:pStyle w:val="NormalWeb"/>
        <w:numPr>
          <w:ilvl w:val="0"/>
          <w:numId w:val="32"/>
        </w:numPr>
        <w:spacing w:before="0" w:beforeAutospacing="0" w:after="0" w:afterAutospacing="0"/>
        <w:ind w:right="115"/>
        <w:jc w:val="both"/>
        <w:rPr>
          <w:rFonts w:ascii="Bookman Old Style" w:eastAsia="Calibri" w:hAnsi="Bookman Old Style" w:cs="Calibri"/>
          <w:sz w:val="22"/>
          <w:szCs w:val="28"/>
          <w:lang w:val="es-ES_tradnl"/>
        </w:rPr>
      </w:pPr>
      <w:r w:rsidRPr="00485CC5">
        <w:rPr>
          <w:rFonts w:ascii="Bookman Old Style" w:eastAsia="Calibri" w:hAnsi="Bookman Old Style" w:cs="Calibri"/>
          <w:sz w:val="22"/>
          <w:szCs w:val="28"/>
          <w:lang w:val="es-ES_tradnl"/>
        </w:rPr>
        <w:t>Genera externalidades positivas en el ámbito fiscal, por un lado, implica un mayor recaudo y con ello mayor inversión social, por el otro crea empleo.</w:t>
      </w:r>
    </w:p>
    <w:p w:rsidR="007E2A01" w:rsidRPr="005C5218" w:rsidRDefault="007E2A01" w:rsidP="007E2A01">
      <w:pPr>
        <w:pStyle w:val="NormalWeb"/>
        <w:numPr>
          <w:ilvl w:val="0"/>
          <w:numId w:val="32"/>
        </w:numPr>
        <w:spacing w:before="0" w:beforeAutospacing="0" w:after="0" w:afterAutospacing="0"/>
        <w:ind w:right="115"/>
        <w:jc w:val="both"/>
        <w:rPr>
          <w:rFonts w:ascii="Bookman Old Style" w:eastAsia="Calibri" w:hAnsi="Bookman Old Style" w:cs="Calibri"/>
          <w:sz w:val="22"/>
          <w:szCs w:val="28"/>
          <w:lang w:val="es-ES_tradnl"/>
        </w:rPr>
      </w:pPr>
      <w:r w:rsidRPr="00485CC5">
        <w:rPr>
          <w:rFonts w:ascii="Bookman Old Style" w:eastAsia="Calibri" w:hAnsi="Bookman Old Style" w:cs="Calibri"/>
          <w:sz w:val="22"/>
          <w:szCs w:val="28"/>
          <w:lang w:val="es-ES_tradnl"/>
        </w:rPr>
        <w:t>Desestimula los mercados ilegales de narcotráfico y su implementación gradual podría conducir a reducir el índice de otros delitos relacionados.</w:t>
      </w:r>
    </w:p>
    <w:p w:rsidR="007E2A01" w:rsidRPr="00485CC5" w:rsidRDefault="007E2A01" w:rsidP="007E2A01">
      <w:pPr>
        <w:pStyle w:val="NormalWeb"/>
        <w:numPr>
          <w:ilvl w:val="0"/>
          <w:numId w:val="32"/>
        </w:numPr>
        <w:spacing w:before="0" w:beforeAutospacing="0" w:after="0" w:afterAutospacing="0"/>
        <w:ind w:right="115"/>
        <w:jc w:val="both"/>
        <w:rPr>
          <w:rFonts w:ascii="Bookman Old Style" w:eastAsia="Calibri" w:hAnsi="Bookman Old Style" w:cs="Calibri"/>
          <w:sz w:val="22"/>
          <w:szCs w:val="28"/>
          <w:lang w:val="es-ES_tradnl"/>
        </w:rPr>
      </w:pPr>
      <w:r w:rsidRPr="00485CC5">
        <w:rPr>
          <w:rFonts w:ascii="Bookman Old Style" w:eastAsia="Calibri" w:hAnsi="Bookman Old Style" w:cs="Calibri"/>
          <w:sz w:val="22"/>
          <w:szCs w:val="28"/>
          <w:lang w:val="es-ES_tradnl"/>
        </w:rPr>
        <w:t>Aliviaría las cargas y sobrepoblación del sistema penitenciario.</w:t>
      </w:r>
    </w:p>
    <w:p w:rsidR="007E2A01" w:rsidRPr="001E18FE" w:rsidRDefault="007E2A01" w:rsidP="007E2A01">
      <w:pPr>
        <w:pStyle w:val="NormalWeb"/>
        <w:spacing w:before="0" w:beforeAutospacing="0" w:after="0" w:afterAutospacing="0"/>
        <w:ind w:right="115"/>
        <w:jc w:val="both"/>
        <w:rPr>
          <w:rFonts w:ascii="Bookman Old Style" w:eastAsia="Calibri" w:hAnsi="Bookman Old Style" w:cs="Calibri"/>
          <w:b/>
          <w:sz w:val="22"/>
          <w:lang w:val="es-ES_tradnl"/>
        </w:rPr>
      </w:pPr>
    </w:p>
    <w:p w:rsidR="007E2A01" w:rsidRDefault="007E2A01" w:rsidP="007E2A01">
      <w:pPr>
        <w:pStyle w:val="Ttulo2"/>
        <w:numPr>
          <w:ilvl w:val="0"/>
          <w:numId w:val="35"/>
        </w:numPr>
        <w:ind w:left="0" w:firstLine="0"/>
        <w:jc w:val="center"/>
        <w:rPr>
          <w:rFonts w:ascii="Bookman Old Style" w:eastAsia="Calibri" w:hAnsi="Bookman Old Style" w:cs="Calibri"/>
          <w:sz w:val="22"/>
          <w:szCs w:val="22"/>
        </w:rPr>
      </w:pPr>
      <w:r>
        <w:rPr>
          <w:rFonts w:ascii="Bookman Old Style" w:eastAsia="Calibri" w:hAnsi="Bookman Old Style" w:cs="Calibri"/>
          <w:sz w:val="22"/>
          <w:szCs w:val="22"/>
        </w:rPr>
        <w:t>COMPETENCIA DEL CONGRESO.</w:t>
      </w:r>
    </w:p>
    <w:p w:rsidR="007E2A01" w:rsidRDefault="007E2A01" w:rsidP="007E2A01">
      <w:pPr>
        <w:jc w:val="both"/>
        <w:rPr>
          <w:rFonts w:ascii="Bookman Old Style" w:hAnsi="Bookman Old Style"/>
          <w:b/>
          <w:color w:val="000000" w:themeColor="text1"/>
        </w:rPr>
      </w:pPr>
    </w:p>
    <w:p w:rsidR="007E2A01" w:rsidRPr="00253221" w:rsidRDefault="007E2A01" w:rsidP="007E2A01">
      <w:pPr>
        <w:jc w:val="both"/>
        <w:rPr>
          <w:rFonts w:ascii="Bookman Old Style" w:hAnsi="Bookman Old Style"/>
          <w:b/>
          <w:color w:val="000000" w:themeColor="text1"/>
        </w:rPr>
      </w:pPr>
      <w:r>
        <w:rPr>
          <w:rFonts w:ascii="Bookman Old Style" w:hAnsi="Bookman Old Style"/>
          <w:b/>
          <w:color w:val="000000" w:themeColor="text1"/>
        </w:rPr>
        <w:t>11</w:t>
      </w:r>
      <w:r w:rsidRPr="00253221">
        <w:rPr>
          <w:rFonts w:ascii="Bookman Old Style" w:hAnsi="Bookman Old Style"/>
          <w:b/>
          <w:color w:val="000000" w:themeColor="text1"/>
        </w:rPr>
        <w:t>.1 CONSTITUCIONAL:</w:t>
      </w:r>
    </w:p>
    <w:p w:rsidR="007E2A01" w:rsidRDefault="007E2A01" w:rsidP="007E2A01">
      <w:pPr>
        <w:contextualSpacing/>
        <w:jc w:val="both"/>
        <w:rPr>
          <w:rFonts w:ascii="Bookman Old Style" w:hAnsi="Bookman Old Style"/>
          <w:b/>
          <w:color w:val="000000" w:themeColor="text1"/>
        </w:rPr>
      </w:pPr>
    </w:p>
    <w:p w:rsidR="007E2A01" w:rsidRPr="00F46028" w:rsidRDefault="007E2A01" w:rsidP="007E2A01">
      <w:pPr>
        <w:ind w:left="851"/>
        <w:contextualSpacing/>
        <w:jc w:val="both"/>
        <w:rPr>
          <w:rFonts w:ascii="Bookman Old Style" w:hAnsi="Bookman Old Style"/>
          <w:color w:val="000000" w:themeColor="text1"/>
        </w:rPr>
      </w:pPr>
      <w:r w:rsidRPr="00F46028">
        <w:rPr>
          <w:rFonts w:ascii="Bookman Old Style" w:hAnsi="Bookman Old Style"/>
          <w:b/>
          <w:color w:val="000000" w:themeColor="text1"/>
        </w:rPr>
        <w:t>ARTICULO 114</w:t>
      </w:r>
      <w:r w:rsidRPr="00F46028">
        <w:rPr>
          <w:rFonts w:ascii="Bookman Old Style" w:hAnsi="Bookman Old Style"/>
          <w:color w:val="000000" w:themeColor="text1"/>
        </w:rPr>
        <w:t>. Corresponde al Congreso de la República reformar la Constitución, hacer las leyes y ejercer control político sobre el gobierno y la administración.</w:t>
      </w:r>
    </w:p>
    <w:p w:rsidR="007E2A01" w:rsidRDefault="007E2A01" w:rsidP="007E2A01">
      <w:pPr>
        <w:ind w:left="851"/>
        <w:contextualSpacing/>
        <w:jc w:val="both"/>
        <w:rPr>
          <w:rFonts w:ascii="Bookman Old Style" w:hAnsi="Bookman Old Style"/>
          <w:color w:val="000000" w:themeColor="text1"/>
        </w:rPr>
      </w:pPr>
    </w:p>
    <w:p w:rsidR="007E2A01" w:rsidRPr="00F46028" w:rsidRDefault="007E2A01" w:rsidP="007E2A01">
      <w:pPr>
        <w:ind w:left="851"/>
        <w:contextualSpacing/>
        <w:jc w:val="both"/>
        <w:rPr>
          <w:rFonts w:ascii="Bookman Old Style" w:hAnsi="Bookman Old Style"/>
          <w:color w:val="000000" w:themeColor="text1"/>
        </w:rPr>
      </w:pPr>
      <w:r w:rsidRPr="00F46028">
        <w:rPr>
          <w:rFonts w:ascii="Bookman Old Style" w:hAnsi="Bookman Old Style"/>
          <w:color w:val="000000" w:themeColor="text1"/>
        </w:rPr>
        <w:t>El Congreso de la República, estará integrado por el Senado y la Cámara de Representantes</w:t>
      </w:r>
    </w:p>
    <w:p w:rsidR="007E2A01" w:rsidRDefault="007E2A01" w:rsidP="007E2A01">
      <w:pPr>
        <w:ind w:left="851"/>
        <w:contextualSpacing/>
        <w:jc w:val="both"/>
        <w:rPr>
          <w:rFonts w:ascii="Bookman Old Style" w:hAnsi="Bookman Old Style"/>
          <w:color w:val="000000" w:themeColor="text1"/>
        </w:rPr>
      </w:pPr>
    </w:p>
    <w:p w:rsidR="007E2A01" w:rsidRPr="00F46028" w:rsidRDefault="007E2A01" w:rsidP="007E2A01">
      <w:pPr>
        <w:ind w:left="851"/>
        <w:contextualSpacing/>
        <w:jc w:val="both"/>
        <w:rPr>
          <w:rFonts w:ascii="Bookman Old Style" w:hAnsi="Bookman Old Style"/>
          <w:color w:val="000000" w:themeColor="text1"/>
        </w:rPr>
      </w:pPr>
      <w:r w:rsidRPr="00F46028">
        <w:rPr>
          <w:rFonts w:ascii="Bookman Old Style" w:hAnsi="Bookman Old Style"/>
          <w:b/>
          <w:color w:val="000000" w:themeColor="text1"/>
        </w:rPr>
        <w:t>ARTICULO  150</w:t>
      </w:r>
      <w:r w:rsidRPr="00F46028">
        <w:rPr>
          <w:rFonts w:ascii="Bookman Old Style" w:hAnsi="Bookman Old Style"/>
          <w:color w:val="000000" w:themeColor="text1"/>
        </w:rPr>
        <w:t>. Corresponde al Congreso hacer las leyes. Por medio de ellas ejerce las siguientes funciones:</w:t>
      </w:r>
    </w:p>
    <w:p w:rsidR="007E2A01" w:rsidRPr="00F46028" w:rsidRDefault="007E2A01" w:rsidP="007E2A01">
      <w:pPr>
        <w:ind w:left="851"/>
        <w:contextualSpacing/>
        <w:jc w:val="both"/>
        <w:rPr>
          <w:rFonts w:ascii="Bookman Old Style" w:hAnsi="Bookman Old Style"/>
          <w:color w:val="000000" w:themeColor="text1"/>
        </w:rPr>
      </w:pPr>
    </w:p>
    <w:p w:rsidR="007E2A01" w:rsidRPr="00F46028" w:rsidRDefault="007E2A01" w:rsidP="007E2A01">
      <w:pPr>
        <w:pStyle w:val="Prrafodelista"/>
        <w:numPr>
          <w:ilvl w:val="0"/>
          <w:numId w:val="43"/>
        </w:numPr>
        <w:spacing w:after="0" w:line="240" w:lineRule="auto"/>
        <w:ind w:left="851" w:firstLine="0"/>
        <w:jc w:val="both"/>
        <w:rPr>
          <w:rFonts w:ascii="Bookman Old Style" w:hAnsi="Bookman Old Style"/>
          <w:color w:val="000000" w:themeColor="text1"/>
        </w:rPr>
      </w:pPr>
      <w:r w:rsidRPr="00F46028">
        <w:rPr>
          <w:rFonts w:ascii="Bookman Old Style" w:hAnsi="Bookman Old Style"/>
          <w:color w:val="000000" w:themeColor="text1"/>
        </w:rPr>
        <w:t>Interpretar, reformar y derogar las leyes.</w:t>
      </w:r>
      <w:r w:rsidRPr="00F46028">
        <w:rPr>
          <w:rFonts w:ascii="Bookman Old Style" w:hAnsi="Bookman Old Style"/>
        </w:rPr>
        <w:t xml:space="preserve"> </w:t>
      </w:r>
    </w:p>
    <w:p w:rsidR="007E2A01" w:rsidRPr="00F46028" w:rsidRDefault="007E2A01" w:rsidP="007E2A01">
      <w:pPr>
        <w:pStyle w:val="Prrafodelista"/>
        <w:ind w:left="851"/>
        <w:jc w:val="both"/>
        <w:rPr>
          <w:rFonts w:ascii="Bookman Old Style" w:hAnsi="Bookman Old Style"/>
          <w:color w:val="000000" w:themeColor="text1"/>
        </w:rPr>
      </w:pPr>
    </w:p>
    <w:p w:rsidR="007E2A01" w:rsidRPr="00F46028" w:rsidRDefault="007E2A01" w:rsidP="007E2A01">
      <w:pPr>
        <w:pStyle w:val="Prrafodelista"/>
        <w:numPr>
          <w:ilvl w:val="0"/>
          <w:numId w:val="43"/>
        </w:numPr>
        <w:spacing w:after="0" w:line="240" w:lineRule="auto"/>
        <w:ind w:left="851" w:firstLine="0"/>
        <w:jc w:val="both"/>
        <w:rPr>
          <w:rFonts w:ascii="Bookman Old Style" w:hAnsi="Bookman Old Style"/>
          <w:color w:val="000000" w:themeColor="text1"/>
        </w:rPr>
      </w:pPr>
      <w:r w:rsidRPr="00F46028">
        <w:rPr>
          <w:rFonts w:ascii="Bookman Old Style" w:hAnsi="Bookman Old Style"/>
          <w:color w:val="000000" w:themeColor="text1"/>
        </w:rPr>
        <w:t>Expedir códigos en todos los ramos de la legislación y reformar sus disposiciones.</w:t>
      </w:r>
    </w:p>
    <w:p w:rsidR="007E2A01" w:rsidRPr="00F46028" w:rsidRDefault="007E2A01" w:rsidP="007E2A01">
      <w:pPr>
        <w:pStyle w:val="Prrafodelista"/>
        <w:ind w:left="851"/>
        <w:jc w:val="both"/>
        <w:rPr>
          <w:rFonts w:ascii="Bookman Old Style" w:hAnsi="Bookman Old Style"/>
          <w:color w:val="000000" w:themeColor="text1"/>
        </w:rPr>
      </w:pPr>
    </w:p>
    <w:p w:rsidR="007E2A01" w:rsidRPr="00F46028" w:rsidRDefault="007E2A01" w:rsidP="007E2A01">
      <w:pPr>
        <w:pStyle w:val="Prrafodelista"/>
        <w:numPr>
          <w:ilvl w:val="0"/>
          <w:numId w:val="43"/>
        </w:numPr>
        <w:spacing w:after="0" w:line="240" w:lineRule="auto"/>
        <w:ind w:left="851" w:firstLine="0"/>
        <w:jc w:val="both"/>
        <w:rPr>
          <w:rFonts w:ascii="Bookman Old Style" w:hAnsi="Bookman Old Style"/>
          <w:color w:val="000000" w:themeColor="text1"/>
        </w:rPr>
      </w:pPr>
      <w:r w:rsidRPr="00F46028">
        <w:rPr>
          <w:rFonts w:ascii="Bookman Old Style" w:hAnsi="Bookman Old Style"/>
          <w:color w:val="000000" w:themeColor="text1"/>
        </w:rPr>
        <w:t>Aprobar el plan nacional de desarrollo y de inversiones públicas que hayan de emprenderse o continuarse, con la determinación de los recursos y apropiaciones que se autoricen para su ejecución, y las medidas necesarias para impulsar el cumplimiento de los mismos.</w:t>
      </w:r>
    </w:p>
    <w:p w:rsidR="007E2A01" w:rsidRPr="00F46028" w:rsidRDefault="007E2A01" w:rsidP="007E2A01">
      <w:pPr>
        <w:pStyle w:val="Prrafodelista"/>
        <w:ind w:left="851"/>
        <w:jc w:val="both"/>
        <w:rPr>
          <w:rFonts w:ascii="Bookman Old Style" w:hAnsi="Bookman Old Style"/>
          <w:color w:val="000000" w:themeColor="text1"/>
        </w:rPr>
      </w:pPr>
    </w:p>
    <w:p w:rsidR="007E2A01" w:rsidRPr="007039DA" w:rsidRDefault="007E2A01" w:rsidP="007E2A01">
      <w:pPr>
        <w:pStyle w:val="Prrafodelista"/>
        <w:numPr>
          <w:ilvl w:val="0"/>
          <w:numId w:val="43"/>
        </w:numPr>
        <w:spacing w:after="0" w:line="240" w:lineRule="auto"/>
        <w:ind w:left="851" w:firstLine="0"/>
        <w:jc w:val="both"/>
        <w:rPr>
          <w:rFonts w:ascii="Bookman Old Style" w:hAnsi="Bookman Old Style"/>
          <w:color w:val="000000" w:themeColor="text1"/>
        </w:rPr>
      </w:pPr>
      <w:r w:rsidRPr="00F46028">
        <w:rPr>
          <w:rFonts w:ascii="Bookman Old Style" w:hAnsi="Bookman Old Style"/>
          <w:color w:val="000000" w:themeColor="text1"/>
        </w:rPr>
        <w:t>Definir la división general del territorio con arreglo a lo previsto en esta Constitución, fijar las bases y condiciones para crear, eliminar, modificar o fusionar entidades territoriales y establecer sus competencias</w:t>
      </w:r>
      <w:r>
        <w:rPr>
          <w:rFonts w:ascii="Bookman Old Style" w:hAnsi="Bookman Old Style"/>
          <w:color w:val="000000" w:themeColor="text1"/>
        </w:rPr>
        <w:t>.</w:t>
      </w:r>
    </w:p>
    <w:p w:rsidR="007E2A01" w:rsidRPr="00F46028" w:rsidRDefault="007E2A01" w:rsidP="007E2A01">
      <w:pPr>
        <w:jc w:val="both"/>
        <w:rPr>
          <w:rFonts w:ascii="Bookman Old Style" w:hAnsi="Bookman Old Style"/>
          <w:b/>
          <w:color w:val="000000" w:themeColor="text1"/>
        </w:rPr>
      </w:pPr>
    </w:p>
    <w:p w:rsidR="007E2A01" w:rsidRPr="00253221" w:rsidRDefault="007E2A01" w:rsidP="007E2A01">
      <w:pPr>
        <w:jc w:val="both"/>
        <w:rPr>
          <w:rFonts w:ascii="Bookman Old Style" w:hAnsi="Bookman Old Style"/>
          <w:b/>
          <w:color w:val="000000" w:themeColor="text1"/>
          <w:u w:val="single"/>
        </w:rPr>
      </w:pPr>
      <w:r>
        <w:rPr>
          <w:rFonts w:ascii="Bookman Old Style" w:hAnsi="Bookman Old Style"/>
          <w:b/>
          <w:color w:val="000000" w:themeColor="text1"/>
        </w:rPr>
        <w:t xml:space="preserve">11.2 </w:t>
      </w:r>
      <w:r w:rsidRPr="00253221">
        <w:rPr>
          <w:rFonts w:ascii="Bookman Old Style" w:hAnsi="Bookman Old Style"/>
          <w:b/>
          <w:color w:val="000000" w:themeColor="text1"/>
        </w:rPr>
        <w:t>LEGAL:</w:t>
      </w:r>
      <w:r w:rsidRPr="00253221">
        <w:rPr>
          <w:rFonts w:ascii="Bookman Old Style" w:hAnsi="Bookman Old Style"/>
          <w:b/>
          <w:color w:val="000000" w:themeColor="text1"/>
          <w:u w:val="single"/>
        </w:rPr>
        <w:t xml:space="preserve"> </w:t>
      </w:r>
    </w:p>
    <w:p w:rsidR="007E2A01" w:rsidRPr="00A22CFE" w:rsidRDefault="007E2A01" w:rsidP="007E2A01">
      <w:pPr>
        <w:jc w:val="both"/>
        <w:rPr>
          <w:rFonts w:ascii="Bookman Old Style" w:hAnsi="Bookman Old Style"/>
          <w:b/>
          <w:color w:val="000000" w:themeColor="text1"/>
          <w:u w:val="single"/>
        </w:rPr>
      </w:pPr>
    </w:p>
    <w:p w:rsidR="007E2A01" w:rsidRPr="00F46028" w:rsidRDefault="007E2A01" w:rsidP="007E2A01">
      <w:pPr>
        <w:ind w:left="851"/>
        <w:jc w:val="both"/>
        <w:rPr>
          <w:rFonts w:ascii="Bookman Old Style" w:hAnsi="Bookman Old Style" w:cs="Arial"/>
          <w:b/>
          <w:lang w:eastAsia="es-ES"/>
        </w:rPr>
      </w:pPr>
      <w:r w:rsidRPr="00F46028">
        <w:rPr>
          <w:rFonts w:ascii="Bookman Old Style" w:hAnsi="Bookman Old Style"/>
          <w:b/>
          <w:color w:val="000000" w:themeColor="text1"/>
        </w:rPr>
        <w:t>LEY 3 DE 1992.</w:t>
      </w:r>
      <w:r w:rsidRPr="00F46028">
        <w:rPr>
          <w:rFonts w:ascii="Bookman Old Style" w:hAnsi="Bookman Old Style" w:cs="Arial"/>
          <w:b/>
          <w:lang w:eastAsia="es-ES"/>
        </w:rPr>
        <w:t xml:space="preserve"> POR LA CUAL SE EXPIDEN NORMAS SOBRE LAS </w:t>
      </w:r>
      <w:r w:rsidRPr="00F46028">
        <w:rPr>
          <w:rFonts w:ascii="Bookman Old Style" w:hAnsi="Bookman Old Style" w:cs="Arial"/>
          <w:b/>
          <w:lang w:eastAsia="es-ES"/>
        </w:rPr>
        <w:lastRenderedPageBreak/>
        <w:t>COMISIONES DEL CONGRESO DE COLOMBIA Y SE DICTAN OTRAS DISPOSICIONES.</w:t>
      </w:r>
    </w:p>
    <w:p w:rsidR="007E2A01" w:rsidRPr="00F46028" w:rsidRDefault="007E2A01" w:rsidP="007E2A01">
      <w:pPr>
        <w:ind w:left="851"/>
        <w:jc w:val="both"/>
        <w:rPr>
          <w:rFonts w:ascii="Bookman Old Style" w:hAnsi="Bookman Old Style"/>
          <w:b/>
          <w:color w:val="000000" w:themeColor="text1"/>
        </w:rPr>
      </w:pPr>
    </w:p>
    <w:p w:rsidR="007E2A01" w:rsidRPr="00F46028" w:rsidRDefault="007E2A01" w:rsidP="007E2A01">
      <w:pPr>
        <w:ind w:left="851"/>
        <w:jc w:val="both"/>
        <w:rPr>
          <w:rFonts w:ascii="Bookman Old Style" w:hAnsi="Bookman Old Style"/>
          <w:i/>
          <w:color w:val="000000" w:themeColor="text1"/>
        </w:rPr>
      </w:pPr>
      <w:r w:rsidRPr="00F46028">
        <w:rPr>
          <w:rFonts w:ascii="Bookman Old Style" w:hAnsi="Bookman Old Style"/>
          <w:b/>
          <w:i/>
          <w:color w:val="000000" w:themeColor="text1"/>
        </w:rPr>
        <w:t xml:space="preserve">ARTÍCULO 2º </w:t>
      </w:r>
      <w:r w:rsidRPr="00F46028">
        <w:rPr>
          <w:rFonts w:ascii="Bookman Old Style" w:hAnsi="Bookman Old Style"/>
          <w:i/>
          <w:color w:val="000000" w:themeColor="text1"/>
        </w:rPr>
        <w:t>Tanto en el Senado como en la Cámara de Representantes funcionarán Comisiones Constitucionales Permanentes, encargadas de dar primer debate a los proyectos de acto legislativo o de ley referente a los asuntos de su competencia.</w:t>
      </w:r>
    </w:p>
    <w:p w:rsidR="007E2A01" w:rsidRPr="00F46028" w:rsidRDefault="007E2A01" w:rsidP="007E2A01">
      <w:pPr>
        <w:ind w:left="851"/>
        <w:jc w:val="both"/>
        <w:rPr>
          <w:rFonts w:ascii="Bookman Old Style" w:hAnsi="Bookman Old Style"/>
          <w:i/>
          <w:color w:val="000000" w:themeColor="text1"/>
        </w:rPr>
      </w:pPr>
    </w:p>
    <w:p w:rsidR="007E2A01" w:rsidRPr="00F46028" w:rsidRDefault="007E2A01" w:rsidP="007E2A01">
      <w:pPr>
        <w:ind w:left="851"/>
        <w:jc w:val="both"/>
        <w:rPr>
          <w:rFonts w:ascii="Bookman Old Style" w:hAnsi="Bookman Old Style"/>
          <w:i/>
          <w:color w:val="000000" w:themeColor="text1"/>
        </w:rPr>
      </w:pPr>
      <w:r w:rsidRPr="00F46028">
        <w:rPr>
          <w:rFonts w:ascii="Bookman Old Style" w:hAnsi="Bookman Old Style"/>
          <w:i/>
          <w:color w:val="000000" w:themeColor="text1"/>
        </w:rPr>
        <w:t>Las Comisiones Constitucionales Permanentes en cada una de las Cámaras serán siete (7) a saber:</w:t>
      </w:r>
    </w:p>
    <w:p w:rsidR="007E2A01" w:rsidRPr="00F46028" w:rsidRDefault="007E2A01" w:rsidP="007E2A01">
      <w:pPr>
        <w:ind w:left="851"/>
        <w:jc w:val="both"/>
        <w:rPr>
          <w:rFonts w:ascii="Bookman Old Style" w:hAnsi="Bookman Old Style"/>
          <w:i/>
          <w:color w:val="000000" w:themeColor="text1"/>
        </w:rPr>
      </w:pPr>
    </w:p>
    <w:p w:rsidR="007E2A01" w:rsidRPr="00F46028" w:rsidRDefault="007E2A01" w:rsidP="007E2A01">
      <w:pPr>
        <w:ind w:left="851"/>
        <w:jc w:val="both"/>
        <w:rPr>
          <w:rFonts w:ascii="Bookman Old Style" w:hAnsi="Bookman Old Style"/>
          <w:i/>
          <w:color w:val="000000" w:themeColor="text1"/>
        </w:rPr>
      </w:pPr>
      <w:r w:rsidRPr="00F46028">
        <w:rPr>
          <w:rFonts w:ascii="Bookman Old Style" w:hAnsi="Bookman Old Style"/>
          <w:i/>
          <w:color w:val="000000" w:themeColor="text1"/>
        </w:rPr>
        <w:t>Comisión Primera.</w:t>
      </w:r>
    </w:p>
    <w:p w:rsidR="007E2A01" w:rsidRPr="00F46028" w:rsidRDefault="007E2A01" w:rsidP="007E2A01">
      <w:pPr>
        <w:ind w:left="851"/>
        <w:jc w:val="both"/>
        <w:rPr>
          <w:rFonts w:ascii="Bookman Old Style" w:hAnsi="Bookman Old Style"/>
          <w:i/>
          <w:color w:val="000000" w:themeColor="text1"/>
        </w:rPr>
      </w:pPr>
    </w:p>
    <w:p w:rsidR="007E2A01" w:rsidRPr="007039DA" w:rsidRDefault="007E2A01" w:rsidP="007E2A01">
      <w:pPr>
        <w:ind w:left="851"/>
        <w:jc w:val="both"/>
        <w:rPr>
          <w:rFonts w:ascii="Bookman Old Style" w:hAnsi="Bookman Old Style"/>
          <w:i/>
          <w:color w:val="000000" w:themeColor="text1"/>
        </w:rPr>
      </w:pPr>
      <w:r w:rsidRPr="00F46028">
        <w:rPr>
          <w:rFonts w:ascii="Bookman Old Style" w:hAnsi="Bookman Old Style"/>
          <w:i/>
          <w:color w:val="000000" w:themeColor="text1"/>
        </w:rPr>
        <w:t xml:space="preserve">Compuesta por diecinueve (19) miembros en el Senado y treinta y cinco (35) en la Cámara de Representantes, conocerá de: </w:t>
      </w:r>
      <w:r w:rsidRPr="00F517A8">
        <w:rPr>
          <w:rFonts w:ascii="Bookman Old Style" w:hAnsi="Bookman Old Style"/>
          <w:i/>
          <w:color w:val="000000" w:themeColor="text1"/>
        </w:rPr>
        <w:t>reforma constitucional</w:t>
      </w:r>
      <w:r w:rsidRPr="00F46028">
        <w:rPr>
          <w:rFonts w:ascii="Bookman Old Style" w:hAnsi="Bookman Old Style"/>
          <w:i/>
          <w:color w:val="000000" w:themeColor="text1"/>
        </w:rPr>
        <w:t>; leyes estatutarias; organización territorial; reglamentos de los organismos de control; normas generales sobre contratación administrativa; notariado y registro; estructura y organización de la administración nacional central; de los derechos, las garantías y los deberes; rama legislativa; estrategias y políticas para la paz; propiedad intelectual; variación de la residencia de los altos poderes nacio</w:t>
      </w:r>
      <w:r>
        <w:rPr>
          <w:rFonts w:ascii="Bookman Old Style" w:hAnsi="Bookman Old Style"/>
          <w:i/>
          <w:color w:val="000000" w:themeColor="text1"/>
        </w:rPr>
        <w:t>nales; asuntos étnicos.</w:t>
      </w:r>
    </w:p>
    <w:p w:rsidR="007E2A01" w:rsidRDefault="007E2A01" w:rsidP="007E2A01">
      <w:pPr>
        <w:pStyle w:val="Ttulo2"/>
        <w:ind w:left="360"/>
        <w:rPr>
          <w:rFonts w:ascii="Bookman Old Style" w:eastAsia="Calibri" w:hAnsi="Bookman Old Style" w:cs="Calibri"/>
          <w:sz w:val="22"/>
          <w:szCs w:val="22"/>
        </w:rPr>
      </w:pPr>
    </w:p>
    <w:p w:rsidR="007E2A01" w:rsidRPr="001E18FE" w:rsidRDefault="007E2A01" w:rsidP="007E2A01">
      <w:pPr>
        <w:pStyle w:val="Ttulo2"/>
        <w:numPr>
          <w:ilvl w:val="0"/>
          <w:numId w:val="35"/>
        </w:numPr>
        <w:jc w:val="center"/>
        <w:rPr>
          <w:rFonts w:ascii="Bookman Old Style" w:eastAsia="Calibri" w:hAnsi="Bookman Old Style" w:cs="Calibri"/>
          <w:sz w:val="22"/>
          <w:szCs w:val="22"/>
        </w:rPr>
      </w:pPr>
      <w:r w:rsidRPr="001E18FE">
        <w:rPr>
          <w:rFonts w:ascii="Bookman Old Style" w:eastAsia="Calibri" w:hAnsi="Bookman Old Style" w:cs="Calibri"/>
          <w:sz w:val="22"/>
          <w:szCs w:val="22"/>
        </w:rPr>
        <w:t>CONFLICTO</w:t>
      </w:r>
      <w:r>
        <w:rPr>
          <w:rFonts w:ascii="Bookman Old Style" w:eastAsia="Calibri" w:hAnsi="Bookman Old Style" w:cs="Calibri"/>
          <w:sz w:val="22"/>
          <w:szCs w:val="22"/>
        </w:rPr>
        <w:t>S</w:t>
      </w:r>
      <w:r w:rsidRPr="001E18FE">
        <w:rPr>
          <w:rFonts w:ascii="Bookman Old Style" w:eastAsia="Calibri" w:hAnsi="Bookman Old Style" w:cs="Calibri"/>
          <w:sz w:val="22"/>
          <w:szCs w:val="22"/>
        </w:rPr>
        <w:t xml:space="preserve"> DE INTERÉS</w:t>
      </w:r>
    </w:p>
    <w:p w:rsidR="007E2A01" w:rsidRDefault="007E2A01" w:rsidP="007E2A01">
      <w:pPr>
        <w:pStyle w:val="Ttulo2"/>
        <w:ind w:left="0"/>
        <w:rPr>
          <w:rFonts w:ascii="Bookman Old Style" w:eastAsia="Calibri" w:hAnsi="Bookman Old Style" w:cs="Calibri"/>
          <w:b w:val="0"/>
          <w:sz w:val="22"/>
          <w:szCs w:val="22"/>
        </w:rPr>
      </w:pPr>
    </w:p>
    <w:p w:rsidR="007E2A01" w:rsidRPr="001E18FE" w:rsidRDefault="007E2A01" w:rsidP="007E2A01">
      <w:pPr>
        <w:pStyle w:val="Ttulo2"/>
        <w:ind w:left="0"/>
        <w:jc w:val="both"/>
        <w:rPr>
          <w:rFonts w:ascii="Bookman Old Style" w:eastAsia="Calibri" w:hAnsi="Bookman Old Style" w:cs="Calibri"/>
          <w:b w:val="0"/>
          <w:sz w:val="22"/>
          <w:szCs w:val="22"/>
        </w:rPr>
      </w:pPr>
      <w:r w:rsidRPr="001E18FE">
        <w:rPr>
          <w:rFonts w:ascii="Bookman Old Style" w:eastAsia="Calibri" w:hAnsi="Bookman Old Style" w:cs="Calibri"/>
          <w:b w:val="0"/>
          <w:sz w:val="22"/>
          <w:szCs w:val="22"/>
        </w:rPr>
        <w:t xml:space="preserve">Dando cumplimiento a lo establecido en el artículo 3 de la Ley 2003 del 19 de noviembre de 2019, por la cual se modifica parcialmente la Ley 5 de 1992, se hacen las siguientes consideraciones: </w:t>
      </w:r>
    </w:p>
    <w:p w:rsidR="007E2A01" w:rsidRDefault="007E2A01" w:rsidP="007E2A01">
      <w:pPr>
        <w:pStyle w:val="Ttulo2"/>
        <w:ind w:left="0"/>
        <w:rPr>
          <w:rFonts w:ascii="Bookman Old Style" w:eastAsia="Calibri" w:hAnsi="Bookman Old Style" w:cs="Calibri"/>
          <w:b w:val="0"/>
          <w:sz w:val="22"/>
          <w:szCs w:val="22"/>
        </w:rPr>
      </w:pPr>
    </w:p>
    <w:p w:rsidR="007E2A01" w:rsidRDefault="007E2A01" w:rsidP="007E2A01">
      <w:pPr>
        <w:pStyle w:val="Ttulo2"/>
        <w:ind w:left="0"/>
        <w:jc w:val="both"/>
        <w:rPr>
          <w:rFonts w:ascii="Bookman Old Style" w:eastAsia="Calibri" w:hAnsi="Bookman Old Style" w:cs="Calibri"/>
          <w:b w:val="0"/>
          <w:sz w:val="22"/>
          <w:szCs w:val="22"/>
        </w:rPr>
      </w:pPr>
      <w:r w:rsidRPr="001E18FE">
        <w:rPr>
          <w:rFonts w:ascii="Bookman Old Style" w:eastAsia="Calibri" w:hAnsi="Bookman Old Style" w:cs="Calibri"/>
          <w:b w:val="0"/>
          <w:sz w:val="22"/>
          <w:szCs w:val="22"/>
        </w:rPr>
        <w:t>Se estima que la discusión y aprobación del presente Proyecto de Acto Legislativo podría generar conflictos de interés en razón de beneficios particulares, actuales y directos a los congresistas conforme a lo dispuesto en la ley, que cuenten con cultivos de cannabis y sus derivados para el uso medicinal o científico</w:t>
      </w:r>
      <w:r>
        <w:rPr>
          <w:rFonts w:ascii="Bookman Old Style" w:eastAsia="Calibri" w:hAnsi="Bookman Old Style" w:cs="Calibri"/>
          <w:b w:val="0"/>
          <w:sz w:val="22"/>
          <w:szCs w:val="22"/>
        </w:rPr>
        <w:t>, o participación en empresas</w:t>
      </w:r>
      <w:r w:rsidRPr="001E18FE">
        <w:rPr>
          <w:rFonts w:ascii="Bookman Old Style" w:eastAsia="Calibri" w:hAnsi="Bookman Old Style" w:cs="Calibri"/>
          <w:b w:val="0"/>
          <w:sz w:val="22"/>
          <w:szCs w:val="22"/>
        </w:rPr>
        <w:t xml:space="preserve"> </w:t>
      </w:r>
      <w:r>
        <w:rPr>
          <w:rFonts w:ascii="Bookman Old Style" w:eastAsia="Calibri" w:hAnsi="Bookman Old Style" w:cs="Calibri"/>
          <w:b w:val="0"/>
          <w:sz w:val="22"/>
          <w:szCs w:val="22"/>
        </w:rPr>
        <w:t xml:space="preserve">que se encarguen de su producción y comercialización </w:t>
      </w:r>
      <w:r w:rsidRPr="001E18FE">
        <w:rPr>
          <w:rFonts w:ascii="Bookman Old Style" w:eastAsia="Calibri" w:hAnsi="Bookman Old Style" w:cs="Calibri"/>
          <w:b w:val="0"/>
          <w:sz w:val="22"/>
          <w:szCs w:val="22"/>
        </w:rPr>
        <w:t>que puedan beneficiarse con el proyecto en mención.</w:t>
      </w:r>
    </w:p>
    <w:p w:rsidR="007E2A01" w:rsidRDefault="007E2A01" w:rsidP="007E2A01">
      <w:pPr>
        <w:pStyle w:val="Ttulo2"/>
        <w:ind w:left="0"/>
        <w:jc w:val="both"/>
        <w:rPr>
          <w:rFonts w:ascii="Bookman Old Style" w:eastAsia="Calibri" w:hAnsi="Bookman Old Style" w:cs="Calibri"/>
          <w:b w:val="0"/>
          <w:sz w:val="22"/>
          <w:szCs w:val="22"/>
        </w:rPr>
      </w:pPr>
    </w:p>
    <w:p w:rsidR="007E2A01" w:rsidRPr="001E18FE" w:rsidRDefault="007E2A01" w:rsidP="007E2A01">
      <w:pPr>
        <w:pStyle w:val="Ttulo2"/>
        <w:ind w:left="0"/>
        <w:jc w:val="both"/>
        <w:rPr>
          <w:rFonts w:ascii="Bookman Old Style" w:eastAsia="Calibri" w:hAnsi="Bookman Old Style" w:cs="Calibri"/>
          <w:b w:val="0"/>
          <w:sz w:val="22"/>
          <w:szCs w:val="22"/>
        </w:rPr>
      </w:pPr>
      <w:r w:rsidRPr="001E18FE">
        <w:rPr>
          <w:rFonts w:ascii="Bookman Old Style" w:eastAsia="Calibri" w:hAnsi="Bookman Old Style" w:cs="Calibri"/>
          <w:b w:val="0"/>
          <w:sz w:val="22"/>
          <w:szCs w:val="22"/>
        </w:rPr>
        <w:t>Sobre este asunto ha señalado el Consejo de Estado (2019):</w:t>
      </w:r>
    </w:p>
    <w:p w:rsidR="007E2A01" w:rsidRDefault="007E2A01" w:rsidP="007E2A01">
      <w:pPr>
        <w:pStyle w:val="Ttulo2"/>
        <w:ind w:left="0"/>
        <w:rPr>
          <w:rFonts w:ascii="Bookman Old Style" w:eastAsia="Calibri" w:hAnsi="Bookman Old Style" w:cs="Calibri"/>
          <w:b w:val="0"/>
          <w:sz w:val="22"/>
          <w:szCs w:val="22"/>
        </w:rPr>
      </w:pPr>
    </w:p>
    <w:p w:rsidR="007E2A01" w:rsidRDefault="007E2A01" w:rsidP="007E2A01">
      <w:pPr>
        <w:pStyle w:val="Ttulo2"/>
        <w:ind w:left="851" w:right="900"/>
        <w:jc w:val="both"/>
        <w:rPr>
          <w:rFonts w:ascii="Bookman Old Style" w:eastAsia="Calibri" w:hAnsi="Bookman Old Style" w:cs="Calibri"/>
          <w:b w:val="0"/>
          <w:i/>
          <w:sz w:val="22"/>
          <w:szCs w:val="22"/>
        </w:rPr>
      </w:pPr>
      <w:r w:rsidRPr="001E18FE">
        <w:rPr>
          <w:rFonts w:ascii="Bookman Old Style" w:eastAsia="Calibri" w:hAnsi="Bookman Old Style" w:cs="Calibri"/>
          <w:b w:val="0"/>
          <w:i/>
          <w:sz w:val="22"/>
          <w:szCs w:val="22"/>
        </w:rPr>
        <w:t>“No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rsidR="007E2A01" w:rsidRPr="001E18FE" w:rsidRDefault="007E2A01" w:rsidP="007E2A01">
      <w:pPr>
        <w:rPr>
          <w:rFonts w:eastAsia="Calibri"/>
        </w:rPr>
      </w:pPr>
    </w:p>
    <w:p w:rsidR="007E2A01" w:rsidRPr="001E18FE" w:rsidRDefault="007E2A01" w:rsidP="007E2A01">
      <w:pPr>
        <w:pStyle w:val="Ttulo2"/>
        <w:ind w:left="0"/>
        <w:jc w:val="both"/>
        <w:rPr>
          <w:rFonts w:ascii="Bookman Old Style" w:eastAsia="Calibri" w:hAnsi="Bookman Old Style" w:cs="Calibri"/>
          <w:b w:val="0"/>
          <w:sz w:val="22"/>
          <w:szCs w:val="22"/>
        </w:rPr>
      </w:pPr>
      <w:r w:rsidRPr="001E18FE">
        <w:rPr>
          <w:rFonts w:ascii="Bookman Old Style" w:eastAsia="Calibri" w:hAnsi="Bookman Old Style" w:cs="Calibri"/>
          <w:b w:val="0"/>
          <w:sz w:val="22"/>
          <w:szCs w:val="22"/>
        </w:rPr>
        <w:t>De igual forma, es pertinente señalar lo que la Ley 5 de 1992 dispone sobre la materia en el artículo 286, modificado por el artículo 1 de la Ley 2003 de 2019:</w:t>
      </w:r>
    </w:p>
    <w:p w:rsidR="007E2A01" w:rsidRDefault="007E2A01" w:rsidP="007E2A01">
      <w:pPr>
        <w:pStyle w:val="Ttulo2"/>
        <w:ind w:left="0"/>
        <w:rPr>
          <w:rFonts w:ascii="Bookman Old Style" w:eastAsia="Calibri" w:hAnsi="Bookman Old Style" w:cs="Calibri"/>
          <w:b w:val="0"/>
          <w:sz w:val="22"/>
          <w:szCs w:val="22"/>
        </w:rPr>
      </w:pPr>
    </w:p>
    <w:p w:rsidR="007E2A01" w:rsidRPr="001E18FE" w:rsidRDefault="007E2A01" w:rsidP="007E2A01">
      <w:pPr>
        <w:pStyle w:val="Ttulo2"/>
        <w:ind w:left="851" w:right="900"/>
        <w:jc w:val="both"/>
        <w:rPr>
          <w:rFonts w:ascii="Bookman Old Style" w:eastAsia="Calibri" w:hAnsi="Bookman Old Style" w:cs="Calibri"/>
          <w:b w:val="0"/>
          <w:i/>
          <w:sz w:val="22"/>
          <w:szCs w:val="22"/>
        </w:rPr>
      </w:pPr>
      <w:r w:rsidRPr="001E18FE">
        <w:rPr>
          <w:rFonts w:ascii="Bookman Old Style" w:eastAsia="Calibri" w:hAnsi="Bookman Old Style" w:cs="Calibri"/>
          <w:b w:val="0"/>
          <w:i/>
          <w:sz w:val="22"/>
          <w:szCs w:val="22"/>
        </w:rPr>
        <w:t>“Se entiende como conflicto de interés una situación donde la discusión o votación de un proyecto de ley o acto legislativo o artículo, pueda resultar en un beneficio particular, actual y directo a favor del congresista.</w:t>
      </w:r>
    </w:p>
    <w:p w:rsidR="007E2A01" w:rsidRPr="001E18FE" w:rsidRDefault="007E2A01" w:rsidP="007E2A01">
      <w:pPr>
        <w:ind w:left="851" w:right="900"/>
        <w:rPr>
          <w:rFonts w:eastAsia="Calibri"/>
          <w:i/>
        </w:rPr>
      </w:pPr>
    </w:p>
    <w:p w:rsidR="007E2A01" w:rsidRPr="001E18FE" w:rsidRDefault="007E2A01" w:rsidP="007E2A01">
      <w:pPr>
        <w:pStyle w:val="Ttulo2"/>
        <w:ind w:left="851" w:right="900"/>
        <w:jc w:val="both"/>
        <w:rPr>
          <w:rFonts w:ascii="Bookman Old Style" w:eastAsia="Calibri" w:hAnsi="Bookman Old Style" w:cs="Calibri"/>
          <w:b w:val="0"/>
          <w:i/>
          <w:sz w:val="22"/>
          <w:szCs w:val="22"/>
        </w:rPr>
      </w:pPr>
      <w:r w:rsidRPr="001E18FE">
        <w:rPr>
          <w:rFonts w:ascii="Bookman Old Style" w:eastAsia="Calibri" w:hAnsi="Bookman Old Style" w:cs="Calibri"/>
          <w:b w:val="0"/>
          <w:i/>
          <w:sz w:val="22"/>
          <w:szCs w:val="22"/>
        </w:rPr>
        <w:t>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rsidR="007E2A01" w:rsidRPr="001E18FE" w:rsidRDefault="007E2A01" w:rsidP="007E2A01">
      <w:pPr>
        <w:pStyle w:val="Ttulo2"/>
        <w:ind w:left="851" w:right="900"/>
        <w:jc w:val="both"/>
        <w:rPr>
          <w:rFonts w:ascii="Bookman Old Style" w:eastAsia="Calibri" w:hAnsi="Bookman Old Style" w:cs="Calibri"/>
          <w:b w:val="0"/>
          <w:i/>
          <w:sz w:val="22"/>
          <w:szCs w:val="22"/>
        </w:rPr>
      </w:pPr>
    </w:p>
    <w:p w:rsidR="007E2A01" w:rsidRPr="001E18FE" w:rsidRDefault="007E2A01" w:rsidP="007E2A01">
      <w:pPr>
        <w:pStyle w:val="Ttulo2"/>
        <w:ind w:left="851" w:right="900"/>
        <w:jc w:val="both"/>
        <w:rPr>
          <w:rFonts w:ascii="Bookman Old Style" w:eastAsia="Calibri" w:hAnsi="Bookman Old Style" w:cs="Calibri"/>
          <w:b w:val="0"/>
          <w:i/>
          <w:sz w:val="22"/>
          <w:szCs w:val="22"/>
        </w:rPr>
      </w:pPr>
      <w:r w:rsidRPr="001E18FE">
        <w:rPr>
          <w:rFonts w:ascii="Bookman Old Style" w:eastAsia="Calibri" w:hAnsi="Bookman Old Style" w:cs="Calibri"/>
          <w:b w:val="0"/>
          <w:i/>
          <w:sz w:val="22"/>
          <w:szCs w:val="22"/>
        </w:rPr>
        <w:t>b) Beneficio actual: aquel que efectivamente se configura en las circunstancias presentes y existentes al momento en el que el congresista participa de la decisión. </w:t>
      </w:r>
    </w:p>
    <w:p w:rsidR="007E2A01" w:rsidRPr="001E18FE" w:rsidRDefault="007E2A01" w:rsidP="007E2A01">
      <w:pPr>
        <w:pStyle w:val="Ttulo2"/>
        <w:ind w:left="851" w:right="900"/>
        <w:jc w:val="both"/>
        <w:rPr>
          <w:rFonts w:ascii="Bookman Old Style" w:eastAsia="Calibri" w:hAnsi="Bookman Old Style" w:cs="Calibri"/>
          <w:b w:val="0"/>
          <w:i/>
          <w:sz w:val="22"/>
          <w:szCs w:val="22"/>
        </w:rPr>
      </w:pPr>
    </w:p>
    <w:p w:rsidR="007E2A01" w:rsidRPr="001E18FE" w:rsidRDefault="007E2A01" w:rsidP="007E2A01">
      <w:pPr>
        <w:pStyle w:val="Ttulo2"/>
        <w:ind w:left="851" w:right="900"/>
        <w:jc w:val="both"/>
        <w:rPr>
          <w:rFonts w:ascii="Bookman Old Style" w:eastAsia="Calibri" w:hAnsi="Bookman Old Style" w:cs="Calibri"/>
          <w:b w:val="0"/>
          <w:i/>
          <w:sz w:val="22"/>
          <w:szCs w:val="22"/>
        </w:rPr>
      </w:pPr>
      <w:r w:rsidRPr="001E18FE">
        <w:rPr>
          <w:rFonts w:ascii="Bookman Old Style" w:eastAsia="Calibri" w:hAnsi="Bookman Old Style" w:cs="Calibri"/>
          <w:b w:val="0"/>
          <w:i/>
          <w:sz w:val="22"/>
          <w:szCs w:val="22"/>
        </w:rPr>
        <w:t>c) Beneficio directo: aquel que se produzca de forma específica respecto del congresista, de su cónyuge, compañero o compañera permanente, o parientes dentro del segundo grado de consanguinidad, segundo de afinidad o primero civil.”</w:t>
      </w:r>
    </w:p>
    <w:p w:rsidR="007E2A01" w:rsidRDefault="007E2A01" w:rsidP="007E2A01">
      <w:pPr>
        <w:pStyle w:val="Ttulo2"/>
        <w:ind w:left="851" w:right="900"/>
        <w:jc w:val="both"/>
        <w:rPr>
          <w:rFonts w:ascii="Bookman Old Style" w:eastAsia="Calibri" w:hAnsi="Bookman Old Style" w:cs="Calibri"/>
          <w:b w:val="0"/>
          <w:sz w:val="22"/>
          <w:szCs w:val="22"/>
        </w:rPr>
      </w:pPr>
    </w:p>
    <w:p w:rsidR="007E2A01" w:rsidRPr="009C5A6D" w:rsidRDefault="007E2A01" w:rsidP="007E2A01">
      <w:pPr>
        <w:pStyle w:val="Ttulo2"/>
        <w:ind w:left="0"/>
        <w:jc w:val="both"/>
        <w:rPr>
          <w:rFonts w:ascii="Bookman Old Style" w:eastAsia="Calibri" w:hAnsi="Bookman Old Style" w:cs="Calibri"/>
          <w:b w:val="0"/>
          <w:sz w:val="22"/>
          <w:szCs w:val="22"/>
        </w:rPr>
      </w:pPr>
      <w:r w:rsidRPr="001E18FE">
        <w:rPr>
          <w:rFonts w:ascii="Bookman Old Style" w:eastAsia="Calibri" w:hAnsi="Bookman Old Style" w:cs="Calibri"/>
          <w:b w:val="0"/>
          <w:sz w:val="22"/>
          <w:szCs w:val="22"/>
        </w:rPr>
        <w:t>Se recuerda que la descripción de los posibles conflictos de interés que se puedan presentar frente al trámite del presente proyecto de ley, conforme a lo dispuesto en el artículo 291 de la ley 5 de 1992 modificado por la ley 2003 de 2019, no exime al Congresista de identificar causales adicionales.</w:t>
      </w:r>
    </w:p>
    <w:p w:rsidR="007E2A01" w:rsidRPr="007E11E6" w:rsidRDefault="007E2A01" w:rsidP="007E2A01">
      <w:pPr>
        <w:jc w:val="center"/>
        <w:rPr>
          <w:rFonts w:ascii="Bookman Old Style" w:eastAsia="Calibri" w:hAnsi="Bookman Old Style"/>
          <w:b/>
        </w:rPr>
      </w:pPr>
    </w:p>
    <w:p w:rsidR="007E2A01" w:rsidRPr="007E11E6" w:rsidRDefault="007E2A01" w:rsidP="007E2A01">
      <w:pPr>
        <w:jc w:val="center"/>
        <w:rPr>
          <w:rFonts w:ascii="Bookman Old Style" w:eastAsia="Calibri" w:hAnsi="Bookman Old Style"/>
          <w:b/>
        </w:rPr>
      </w:pPr>
    </w:p>
    <w:p w:rsidR="006012B7" w:rsidRDefault="006012B7" w:rsidP="006012B7">
      <w:pPr>
        <w:pStyle w:val="Prrafodelista"/>
        <w:numPr>
          <w:ilvl w:val="0"/>
          <w:numId w:val="35"/>
        </w:numPr>
        <w:jc w:val="center"/>
        <w:rPr>
          <w:rFonts w:ascii="Bookman Old Style" w:eastAsia="Calibri" w:hAnsi="Bookman Old Style"/>
          <w:b/>
        </w:rPr>
      </w:pPr>
      <w:bookmarkStart w:id="5" w:name="_Hlk114471135"/>
      <w:r w:rsidRPr="006012B7">
        <w:rPr>
          <w:rFonts w:ascii="Bookman Old Style" w:eastAsia="Calibri" w:hAnsi="Bookman Old Style"/>
          <w:b/>
        </w:rPr>
        <w:t xml:space="preserve">TEXTO APROBADO EN LA COMISIÓN PRIMERA DE LA CÁMARA DE </w:t>
      </w:r>
      <w:r w:rsidR="00B45B66">
        <w:rPr>
          <w:rFonts w:ascii="Bookman Old Style" w:eastAsia="Calibri" w:hAnsi="Bookman Old Style"/>
          <w:b/>
        </w:rPr>
        <w:t>REPRESENTANTES EN PRIMER DEBATE DE</w:t>
      </w:r>
      <w:r w:rsidRPr="006012B7">
        <w:rPr>
          <w:rFonts w:ascii="Bookman Old Style" w:eastAsia="Calibri" w:hAnsi="Bookman Old Style"/>
          <w:b/>
        </w:rPr>
        <w:t xml:space="preserve"> SEGUNDA VUELTA AL PROYECTO DE ACTO LEGISLATIVO No. 002 DE 2022 CÁMARA - 033 DE 2022 SENADO </w:t>
      </w:r>
    </w:p>
    <w:p w:rsidR="007E2A01" w:rsidRPr="006012B7" w:rsidRDefault="002B336A" w:rsidP="006012B7">
      <w:pPr>
        <w:pStyle w:val="Prrafodelista"/>
        <w:ind w:left="360"/>
        <w:jc w:val="center"/>
        <w:rPr>
          <w:rFonts w:ascii="Bookman Old Style" w:eastAsia="Calibri" w:hAnsi="Bookman Old Style"/>
        </w:rPr>
      </w:pPr>
      <w:r w:rsidRPr="006012B7">
        <w:rPr>
          <w:rFonts w:ascii="Bookman Old Style" w:eastAsia="Calibri" w:hAnsi="Bookman Old Style"/>
          <w:i/>
        </w:rPr>
        <w:t>“</w:t>
      </w:r>
      <w:r w:rsidRPr="006012B7">
        <w:rPr>
          <w:rFonts w:ascii="Bookman Old Style" w:hAnsi="Bookman Old Style" w:cs="Arial"/>
          <w:bCs/>
          <w:i/>
        </w:rPr>
        <w:t>Por medio del cual se modifica el artículo 49 de la Constitución Política de Colombia, se regulariza el cannabis de uso adulto y se dictan otras disposiciones</w:t>
      </w:r>
      <w:r w:rsidRPr="006012B7">
        <w:rPr>
          <w:rFonts w:ascii="Bookman Old Style" w:eastAsia="Calibri" w:hAnsi="Bookman Old Style"/>
          <w:i/>
        </w:rPr>
        <w:t>”</w:t>
      </w:r>
    </w:p>
    <w:bookmarkEnd w:id="5"/>
    <w:p w:rsidR="007E2A01" w:rsidRDefault="007E2A01" w:rsidP="007E2A01">
      <w:pPr>
        <w:pStyle w:val="Prrafodelista"/>
        <w:rPr>
          <w:rFonts w:ascii="Bookman Old Style" w:eastAsia="Calibri" w:hAnsi="Bookman Old Style"/>
          <w:b/>
        </w:rPr>
      </w:pPr>
    </w:p>
    <w:p w:rsidR="007E2A01" w:rsidRPr="00485CC5" w:rsidRDefault="007E2A01" w:rsidP="007E2A01">
      <w:pPr>
        <w:pStyle w:val="NormalWeb"/>
        <w:shd w:val="clear" w:color="auto" w:fill="FFFFFF"/>
        <w:spacing w:before="150" w:beforeAutospacing="0" w:after="150" w:afterAutospacing="0" w:line="338" w:lineRule="atLeast"/>
        <w:jc w:val="center"/>
        <w:rPr>
          <w:rFonts w:ascii="Bookman Old Style" w:hAnsi="Bookman Old Style" w:cs="Calibri"/>
          <w:sz w:val="22"/>
          <w:szCs w:val="22"/>
        </w:rPr>
      </w:pPr>
      <w:r w:rsidRPr="00485CC5">
        <w:rPr>
          <w:rStyle w:val="Textoennegrita"/>
          <w:rFonts w:ascii="Bookman Old Style" w:hAnsi="Bookman Old Style" w:cs="Calibri"/>
          <w:sz w:val="22"/>
          <w:szCs w:val="22"/>
        </w:rPr>
        <w:t>EL CONGRESO DE COLOMBIA</w:t>
      </w:r>
    </w:p>
    <w:p w:rsidR="007E2A01" w:rsidRDefault="007E2A01" w:rsidP="007E2A01">
      <w:pPr>
        <w:pStyle w:val="NormalWeb"/>
        <w:shd w:val="clear" w:color="auto" w:fill="FFFFFF"/>
        <w:spacing w:before="150" w:beforeAutospacing="0" w:after="150" w:afterAutospacing="0" w:line="338" w:lineRule="atLeast"/>
        <w:jc w:val="center"/>
        <w:rPr>
          <w:rStyle w:val="Textoennegrita"/>
          <w:rFonts w:ascii="Bookman Old Style" w:hAnsi="Bookman Old Style" w:cs="Calibri"/>
          <w:sz w:val="22"/>
          <w:szCs w:val="22"/>
        </w:rPr>
      </w:pPr>
      <w:r w:rsidRPr="00485CC5">
        <w:rPr>
          <w:rStyle w:val="Textoennegrita"/>
          <w:rFonts w:ascii="Bookman Old Style" w:hAnsi="Bookman Old Style" w:cs="Calibri"/>
          <w:sz w:val="22"/>
          <w:szCs w:val="22"/>
        </w:rPr>
        <w:t>DECRETA:</w:t>
      </w:r>
    </w:p>
    <w:p w:rsidR="008039E6" w:rsidRPr="00485CC5" w:rsidRDefault="008039E6" w:rsidP="008039E6">
      <w:pPr>
        <w:pStyle w:val="NormalWeb"/>
        <w:shd w:val="clear" w:color="auto" w:fill="FFFFFF"/>
        <w:spacing w:before="150" w:beforeAutospacing="0" w:after="150" w:afterAutospacing="0" w:line="338" w:lineRule="atLeast"/>
        <w:jc w:val="center"/>
        <w:rPr>
          <w:rFonts w:ascii="Bookman Old Style" w:hAnsi="Bookman Old Style" w:cs="Calibri"/>
          <w:sz w:val="22"/>
          <w:szCs w:val="22"/>
        </w:rPr>
      </w:pPr>
    </w:p>
    <w:p w:rsidR="006012B7" w:rsidRPr="00F954F0" w:rsidRDefault="006012B7" w:rsidP="006012B7">
      <w:pPr>
        <w:pStyle w:val="centrado"/>
        <w:spacing w:line="270" w:lineRule="atLeast"/>
        <w:jc w:val="both"/>
        <w:rPr>
          <w:rFonts w:ascii="Bookman Old Style" w:hAnsi="Bookman Old Style" w:cs="Calibri"/>
          <w:sz w:val="22"/>
          <w:szCs w:val="22"/>
        </w:rPr>
      </w:pPr>
      <w:r w:rsidRPr="00F954F0">
        <w:rPr>
          <w:rFonts w:ascii="Bookman Old Style" w:hAnsi="Bookman Old Style" w:cs="Calibri"/>
          <w:b/>
          <w:bCs/>
        </w:rPr>
        <w:t>ARTÍCULO</w:t>
      </w:r>
      <w:r w:rsidRPr="00F954F0">
        <w:rPr>
          <w:rFonts w:ascii="Bookman Old Style" w:hAnsi="Bookman Old Style" w:cs="Calibri"/>
          <w:b/>
          <w:bCs/>
          <w:sz w:val="22"/>
          <w:szCs w:val="22"/>
        </w:rPr>
        <w:t xml:space="preserve"> 1º. </w:t>
      </w:r>
      <w:r w:rsidRPr="00F954F0">
        <w:rPr>
          <w:rFonts w:ascii="Bookman Old Style" w:hAnsi="Bookman Old Style" w:cs="Calibri"/>
          <w:sz w:val="22"/>
          <w:szCs w:val="22"/>
        </w:rPr>
        <w:t xml:space="preserve">El artículo 49 de la Constitución Política quedará así: </w:t>
      </w:r>
    </w:p>
    <w:p w:rsidR="006012B7" w:rsidRPr="00043C11" w:rsidRDefault="006012B7" w:rsidP="006012B7">
      <w:pPr>
        <w:pStyle w:val="centrado"/>
        <w:spacing w:before="0" w:beforeAutospacing="0"/>
        <w:ind w:left="708"/>
        <w:jc w:val="both"/>
        <w:rPr>
          <w:rFonts w:ascii="Bookman Old Style" w:hAnsi="Bookman Old Style" w:cs="Arial"/>
          <w:sz w:val="22"/>
          <w:szCs w:val="22"/>
        </w:rPr>
      </w:pPr>
      <w:r w:rsidRPr="00043C11">
        <w:rPr>
          <w:rFonts w:ascii="Bookman Old Style" w:hAnsi="Bookman Old Style" w:cs="Calibri"/>
          <w:b/>
          <w:bCs/>
        </w:rPr>
        <w:lastRenderedPageBreak/>
        <w:t>ARTÍCULO 49o.</w:t>
      </w:r>
      <w:r w:rsidRPr="00043C11">
        <w:rPr>
          <w:rFonts w:ascii="Bookman Old Style" w:hAnsi="Bookman Old Style" w:cs="Calibri"/>
        </w:rPr>
        <w:t xml:space="preserve"> </w:t>
      </w:r>
      <w:r w:rsidRPr="00043C11">
        <w:rPr>
          <w:rFonts w:ascii="Bookman Old Style" w:hAnsi="Bookman Old Style" w:cs="Arial"/>
          <w:sz w:val="22"/>
          <w:szCs w:val="22"/>
        </w:rPr>
        <w:t>La atención de la salud y el saneamiento ambiental son servicios públicos a cargo del Estado. Se garantiza a todas las personas el acceso a los servicios de promoción, protección y recuperación de la salud.</w:t>
      </w:r>
    </w:p>
    <w:p w:rsidR="006012B7" w:rsidRPr="00043C11" w:rsidRDefault="006012B7" w:rsidP="006012B7">
      <w:pPr>
        <w:spacing w:after="100" w:afterAutospacing="1"/>
        <w:ind w:left="708"/>
        <w:jc w:val="both"/>
        <w:rPr>
          <w:rFonts w:ascii="Bookman Old Style" w:hAnsi="Bookman Old Style" w:cs="Arial"/>
        </w:rPr>
      </w:pPr>
      <w:r w:rsidRPr="00043C11">
        <w:rPr>
          <w:rFonts w:ascii="Bookman Old Style" w:hAnsi="Bookman Old Style" w:cs="Arial"/>
        </w:rPr>
        <w:t>Corresponde al Estado organizar, dirigir y reglamentar la prestación de servicios de salud a los habitantes y de saneamiento ambiental conforme a los principios de eficiencia, universalidad y solidaridad. También, establecer las políticas para la prestación de servicios de salud por entidades privadas, y ejercer su vigilancia y control. Así mismo, establecer las competencias de la Nación, las entidades territoriales y los particulares y determinar los aportes a su cargo en los términos y condiciones señalados en la ley.</w:t>
      </w:r>
    </w:p>
    <w:p w:rsidR="006012B7" w:rsidRPr="00043C11" w:rsidRDefault="006012B7" w:rsidP="006012B7">
      <w:pPr>
        <w:spacing w:after="100" w:afterAutospacing="1"/>
        <w:ind w:left="708"/>
        <w:jc w:val="both"/>
        <w:rPr>
          <w:rFonts w:ascii="Bookman Old Style" w:hAnsi="Bookman Old Style" w:cs="Arial"/>
        </w:rPr>
      </w:pPr>
      <w:r w:rsidRPr="00043C11">
        <w:rPr>
          <w:rFonts w:ascii="Bookman Old Style" w:hAnsi="Bookman Old Style" w:cs="Arial"/>
        </w:rPr>
        <w:t>Los servicios de salud se organizarán en forma descentralizada, por niveles de atención y con participación de la comunidad.</w:t>
      </w:r>
    </w:p>
    <w:p w:rsidR="006012B7" w:rsidRPr="00043C11" w:rsidRDefault="006012B7" w:rsidP="006012B7">
      <w:pPr>
        <w:spacing w:after="100" w:afterAutospacing="1"/>
        <w:ind w:left="708"/>
        <w:jc w:val="both"/>
        <w:rPr>
          <w:rFonts w:ascii="Bookman Old Style" w:hAnsi="Bookman Old Style" w:cs="Arial"/>
        </w:rPr>
      </w:pPr>
      <w:r w:rsidRPr="00043C11">
        <w:rPr>
          <w:rFonts w:ascii="Bookman Old Style" w:hAnsi="Bookman Old Style" w:cs="Arial"/>
        </w:rPr>
        <w:t>La ley señalará los términos en los cuales la atención básica para todos los habitantes será gratuita y obligatoria.</w:t>
      </w:r>
    </w:p>
    <w:p w:rsidR="006012B7" w:rsidRPr="00043C11" w:rsidRDefault="006012B7" w:rsidP="006012B7">
      <w:pPr>
        <w:spacing w:after="100" w:afterAutospacing="1"/>
        <w:ind w:left="708"/>
        <w:jc w:val="both"/>
        <w:rPr>
          <w:rFonts w:ascii="Bookman Old Style" w:hAnsi="Bookman Old Style" w:cs="Arial"/>
        </w:rPr>
      </w:pPr>
      <w:r w:rsidRPr="00043C11">
        <w:rPr>
          <w:rFonts w:ascii="Bookman Old Style" w:hAnsi="Bookman Old Style" w:cs="Arial"/>
        </w:rPr>
        <w:t>Toda persona tiene el deber de procurar el cuidado integral de su salud y de su comunidad.</w:t>
      </w:r>
    </w:p>
    <w:p w:rsidR="006012B7" w:rsidRPr="00043C11" w:rsidRDefault="006012B7" w:rsidP="006012B7">
      <w:pPr>
        <w:spacing w:after="100" w:afterAutospacing="1"/>
        <w:ind w:left="708"/>
        <w:jc w:val="both"/>
        <w:rPr>
          <w:rFonts w:ascii="Bookman Old Style" w:hAnsi="Bookman Old Style" w:cs="Arial"/>
        </w:rPr>
      </w:pPr>
      <w:r w:rsidRPr="00043C11">
        <w:rPr>
          <w:rFonts w:ascii="Bookman Old Style" w:hAnsi="Bookman Old Style" w:cs="Arial"/>
        </w:rPr>
        <w:t xml:space="preserve">El porte y el consumo de sustancias psicoactivas no reguladas está prohibido, salvo con fines médicos y científicos. </w:t>
      </w:r>
    </w:p>
    <w:p w:rsidR="006012B7" w:rsidRPr="00043C11" w:rsidRDefault="006012B7" w:rsidP="006012B7">
      <w:pPr>
        <w:spacing w:after="100" w:afterAutospacing="1"/>
        <w:ind w:left="708"/>
        <w:jc w:val="both"/>
        <w:rPr>
          <w:rFonts w:ascii="Bookman Old Style" w:hAnsi="Bookman Old Style" w:cs="Arial"/>
        </w:rPr>
      </w:pPr>
      <w:r w:rsidRPr="00043C11">
        <w:rPr>
          <w:rFonts w:ascii="Bookman Old Style" w:hAnsi="Bookman Old Style" w:cs="Arial"/>
        </w:rPr>
        <w:t>La prohibición prevista en el inciso anterior no aplicará para el porte y consumo del cannabis y sus derivados por parte de mayores de edad. Tampoco aplicará para ninguna de estas sustancias para su producción, distribución, venta y comercialización con fines de uso adulto siempre y cuando se cuente con las licencias otorgadas por la autoridad competente.</w:t>
      </w:r>
    </w:p>
    <w:p w:rsidR="006012B7" w:rsidRDefault="006012B7" w:rsidP="006012B7">
      <w:pPr>
        <w:ind w:left="708"/>
        <w:jc w:val="both"/>
        <w:rPr>
          <w:rFonts w:ascii="Bookman Old Style" w:hAnsi="Bookman Old Style"/>
        </w:rPr>
      </w:pPr>
      <w:r w:rsidRPr="00043C11">
        <w:rPr>
          <w:rFonts w:ascii="Bookman Old Style" w:hAnsi="Bookman Old Style"/>
        </w:rPr>
        <w:t xml:space="preserve">La ley restringirá el consumo y comercialización de cannabis o sus derivados en entornos escolares y reglamentará el porte y consumo de cannabis y sus derivados en espacios públicos, recreativos, en espacios privados abiertos al público, zonas comunes, en establecimientos carcelarios y de rehabilitación, entre otros. </w:t>
      </w:r>
    </w:p>
    <w:p w:rsidR="006012B7" w:rsidRPr="00043C11" w:rsidRDefault="006012B7" w:rsidP="006012B7">
      <w:pPr>
        <w:ind w:left="708"/>
        <w:jc w:val="both"/>
        <w:rPr>
          <w:rFonts w:ascii="Bookman Old Style" w:hAnsi="Bookman Old Style"/>
        </w:rPr>
      </w:pPr>
    </w:p>
    <w:p w:rsidR="006012B7" w:rsidRPr="00043C11" w:rsidRDefault="006012B7" w:rsidP="006012B7">
      <w:pPr>
        <w:spacing w:after="100" w:afterAutospacing="1"/>
        <w:ind w:left="708"/>
        <w:jc w:val="both"/>
        <w:rPr>
          <w:rFonts w:ascii="Bookman Old Style" w:hAnsi="Bookman Old Style" w:cs="Arial"/>
        </w:rPr>
      </w:pPr>
      <w:r w:rsidRPr="00043C11">
        <w:rPr>
          <w:rFonts w:ascii="Bookman Old Style" w:hAnsi="Bookman Old Style" w:cs="Arial"/>
        </w:rPr>
        <w:t>Con fines preventivos y rehabilitadores la ley establecerá medidas y tratamientos de orden pedagógico, profiláctico o terapéutico para toda la población y en especial a las personas que consuman sustancias psicoactivas. El acceso a esas medidas y tratamientos requiere el consentimiento informado del consumidor.</w:t>
      </w:r>
    </w:p>
    <w:p w:rsidR="006012B7" w:rsidRPr="00043C11" w:rsidRDefault="006012B7" w:rsidP="006012B7">
      <w:pPr>
        <w:spacing w:after="100" w:afterAutospacing="1"/>
        <w:ind w:left="708"/>
        <w:jc w:val="both"/>
        <w:rPr>
          <w:rFonts w:ascii="Bookman Old Style" w:hAnsi="Bookman Old Style" w:cs="Arial"/>
        </w:rPr>
      </w:pPr>
      <w:r w:rsidRPr="00043C11">
        <w:rPr>
          <w:rFonts w:ascii="Bookman Old Style" w:hAnsi="Bookman Old Style" w:cs="Arial"/>
        </w:rPr>
        <w:t xml:space="preserve">El Estado atenderá con un enfoque de Derechos Humanos y de salud pública a toda la población procurando el cuidado integral de la salud de las personas y, por consiguiente, de la comunidad, y desarrollará en forma permanente medidas y estrategias de prevención del consumo de sustancias psicoactivas y sus efectos nocivos, así como estrategias de reducción de </w:t>
      </w:r>
      <w:r w:rsidRPr="00043C11">
        <w:rPr>
          <w:rFonts w:ascii="Bookman Old Style" w:hAnsi="Bookman Old Style" w:cs="Arial"/>
        </w:rPr>
        <w:lastRenderedPageBreak/>
        <w:t xml:space="preserve">riesgos y daños en favor de los consumidores. </w:t>
      </w:r>
    </w:p>
    <w:p w:rsidR="006012B7" w:rsidRPr="00043C11" w:rsidRDefault="006012B7" w:rsidP="006012B7">
      <w:pPr>
        <w:spacing w:after="100" w:afterAutospacing="1"/>
        <w:ind w:left="708"/>
        <w:jc w:val="both"/>
        <w:rPr>
          <w:rFonts w:ascii="Bookman Old Style" w:eastAsia="Arial Narrow" w:hAnsi="Bookman Old Style" w:cs="Arial Narrow"/>
        </w:rPr>
      </w:pPr>
      <w:r w:rsidRPr="00043C11">
        <w:rPr>
          <w:rFonts w:ascii="Bookman Old Style" w:hAnsi="Bookman Old Style" w:cs="Arial"/>
        </w:rPr>
        <w:t xml:space="preserve">Así mismo, </w:t>
      </w:r>
      <w:r w:rsidRPr="00043C11">
        <w:rPr>
          <w:rFonts w:ascii="Bookman Old Style" w:eastAsia="Arial Narrow" w:hAnsi="Bookman Old Style" w:cs="Arial Narrow"/>
        </w:rPr>
        <w:t>En ese mismo sentido, se garantizará el tratamiento y rehabilitación de las personas con una relación problemática con sustancias psicoactivas y a su familia y/o redes de apoyo. Estas medidas y tratamientos requieren el consentimiento informado del consumidor.</w:t>
      </w:r>
    </w:p>
    <w:p w:rsidR="006012B7" w:rsidRPr="00043C11" w:rsidRDefault="006012B7" w:rsidP="006012B7">
      <w:pPr>
        <w:spacing w:after="100" w:afterAutospacing="1"/>
        <w:ind w:left="708"/>
        <w:jc w:val="both"/>
        <w:rPr>
          <w:rFonts w:ascii="Bookman Old Style" w:hAnsi="Bookman Old Style" w:cs="Arial"/>
        </w:rPr>
      </w:pPr>
      <w:r w:rsidRPr="00043C11">
        <w:rPr>
          <w:rFonts w:ascii="Bookman Old Style" w:hAnsi="Bookman Old Style" w:cs="Arial"/>
        </w:rPr>
        <w:t>El Estado incorporará en el Sistema Educativo, en sus diferentes formas, modalidades y niveles, la educación sobre la prevención en el consumo de sustancias psicoactivas y sus efectos nocivos.</w:t>
      </w:r>
    </w:p>
    <w:p w:rsidR="006012B7" w:rsidRDefault="006012B7" w:rsidP="006012B7">
      <w:pPr>
        <w:ind w:left="708"/>
        <w:jc w:val="both"/>
        <w:rPr>
          <w:rFonts w:ascii="Bookman Old Style" w:hAnsi="Bookman Old Style" w:cs="Arial"/>
        </w:rPr>
      </w:pPr>
      <w:r w:rsidRPr="00043C11">
        <w:rPr>
          <w:rFonts w:ascii="Bookman Old Style" w:hAnsi="Bookman Old Style" w:cs="Arial"/>
        </w:rPr>
        <w:t>Las entidades que conforman el Sistema General de Seguridad Social en Salud y sus prestadores garantizarán la aplicación e incorporación de lo establecido en este artículo de forma obligatoria.</w:t>
      </w:r>
    </w:p>
    <w:p w:rsidR="006012B7" w:rsidRPr="00014699" w:rsidRDefault="006012B7" w:rsidP="006012B7">
      <w:pPr>
        <w:ind w:left="708"/>
        <w:jc w:val="both"/>
        <w:rPr>
          <w:rFonts w:ascii="Bookman Old Style" w:hAnsi="Bookman Old Style" w:cs="Arial"/>
        </w:rPr>
      </w:pPr>
    </w:p>
    <w:p w:rsidR="006012B7" w:rsidRDefault="006012B7" w:rsidP="006012B7">
      <w:pPr>
        <w:pStyle w:val="NormalWeb"/>
        <w:spacing w:line="270" w:lineRule="atLeast"/>
        <w:jc w:val="both"/>
        <w:rPr>
          <w:rFonts w:ascii="Bookman Old Style" w:hAnsi="Bookman Old Style" w:cs="Arial"/>
          <w:bCs/>
          <w:sz w:val="22"/>
          <w:szCs w:val="22"/>
        </w:rPr>
      </w:pPr>
      <w:r w:rsidRPr="00F954F0">
        <w:rPr>
          <w:rFonts w:ascii="Bookman Old Style" w:hAnsi="Bookman Old Style" w:cs="Calibri"/>
          <w:b/>
          <w:bCs/>
        </w:rPr>
        <w:t>ARTÍCULO</w:t>
      </w:r>
      <w:r w:rsidRPr="00F954F0">
        <w:rPr>
          <w:rFonts w:ascii="Bookman Old Style" w:hAnsi="Bookman Old Style" w:cs="Calibri"/>
          <w:b/>
          <w:bCs/>
          <w:sz w:val="22"/>
          <w:szCs w:val="22"/>
        </w:rPr>
        <w:t xml:space="preserve"> 2°. TRANSITORIO</w:t>
      </w:r>
      <w:r w:rsidRPr="00043C11">
        <w:rPr>
          <w:rFonts w:ascii="Bookman Old Style" w:hAnsi="Bookman Old Style" w:cs="Calibri"/>
          <w:bCs/>
          <w:sz w:val="22"/>
          <w:szCs w:val="22"/>
        </w:rPr>
        <w:t xml:space="preserve">. </w:t>
      </w:r>
      <w:r w:rsidRPr="00043C11">
        <w:rPr>
          <w:rFonts w:ascii="Bookman Old Style" w:hAnsi="Bookman Old Style" w:cs="Arial"/>
          <w:sz w:val="22"/>
          <w:szCs w:val="22"/>
        </w:rPr>
        <w:t>El Gobierno Nacional tendrá un plazo de seis (6) meses, contados a partir de la promulgación del presente Acto Legislativo, para formular, divulgar e implementar una política pública estricta e integral en torno a la prevención y atención del consumo de sustancias psicoactivas, haciendo énfasis en la prevención del consumo pasivo o secundario por parte de los niños, niñas y adolescentes. Dicha política deberá estar acompañada con una estrategia educativa nacional integral que tenga como objetivo la prevención del consumo de dichas sustancias.</w:t>
      </w:r>
      <w:r w:rsidRPr="00043C11">
        <w:rPr>
          <w:rFonts w:ascii="Bookman Old Style" w:hAnsi="Bookman Old Style" w:cs="Arial"/>
          <w:bCs/>
          <w:sz w:val="22"/>
          <w:szCs w:val="22"/>
        </w:rPr>
        <w:t xml:space="preserve"> </w:t>
      </w:r>
    </w:p>
    <w:p w:rsidR="006012B7" w:rsidRPr="00014699" w:rsidRDefault="006012B7" w:rsidP="006012B7">
      <w:pPr>
        <w:pStyle w:val="NormalWeb"/>
        <w:spacing w:line="270" w:lineRule="atLeast"/>
        <w:jc w:val="both"/>
        <w:rPr>
          <w:rFonts w:ascii="Bookman Old Style" w:hAnsi="Bookman Old Style" w:cs="Arial"/>
          <w:bCs/>
          <w:sz w:val="22"/>
          <w:szCs w:val="22"/>
        </w:rPr>
      </w:pPr>
      <w:r w:rsidRPr="00014699">
        <w:rPr>
          <w:rFonts w:ascii="Bookman Old Style" w:hAnsi="Bookman Old Style" w:cs="Arial"/>
          <w:sz w:val="22"/>
          <w:szCs w:val="22"/>
        </w:rPr>
        <w:t>PARÁGRAFO.</w:t>
      </w:r>
      <w:r w:rsidRPr="00043C11">
        <w:rPr>
          <w:rFonts w:ascii="Bookman Old Style" w:hAnsi="Bookman Old Style" w:cs="Arial"/>
          <w:sz w:val="22"/>
          <w:szCs w:val="22"/>
        </w:rPr>
        <w:t xml:space="preserve"> Tratándose de grupos étnicos,</w:t>
      </w:r>
      <w:r w:rsidRPr="00F56CEA">
        <w:rPr>
          <w:rFonts w:ascii="Bookman Old Style" w:hAnsi="Bookman Old Style" w:cs="Arial"/>
          <w:sz w:val="22"/>
          <w:szCs w:val="22"/>
        </w:rPr>
        <w:t xml:space="preserve"> el Gobierno Nacional deberá agotar la consulta previa, para emitir un decreto para </w:t>
      </w:r>
      <w:r>
        <w:rPr>
          <w:rFonts w:ascii="Bookman Old Style" w:hAnsi="Bookman Old Style" w:cs="Arial"/>
          <w:sz w:val="22"/>
          <w:szCs w:val="22"/>
        </w:rPr>
        <w:t>la reglamentación de la materia</w:t>
      </w:r>
      <w:r w:rsidRPr="00F56CEA">
        <w:rPr>
          <w:rFonts w:ascii="Bookman Old Style" w:hAnsi="Bookman Old Style" w:cs="Arial"/>
          <w:sz w:val="22"/>
          <w:szCs w:val="22"/>
        </w:rPr>
        <w:t xml:space="preserve"> y garantizará la interculturalidad como elemento esencial del derecho fundamental a la salud para el fortalecimiento efectivo de los saberes, prácticas culturales, formas tradicionales y complementarias afines a la diversidad étnica. </w:t>
      </w:r>
    </w:p>
    <w:p w:rsidR="006012B7" w:rsidRPr="00F954F0" w:rsidRDefault="006012B7" w:rsidP="006012B7">
      <w:pPr>
        <w:pStyle w:val="NormalWeb"/>
        <w:spacing w:line="270" w:lineRule="atLeast"/>
        <w:jc w:val="both"/>
        <w:rPr>
          <w:rFonts w:ascii="Bookman Old Style" w:hAnsi="Bookman Old Style" w:cs="Calibri"/>
          <w:b/>
          <w:bCs/>
          <w:sz w:val="22"/>
          <w:szCs w:val="22"/>
        </w:rPr>
      </w:pPr>
    </w:p>
    <w:p w:rsidR="006012B7" w:rsidRDefault="006012B7" w:rsidP="006012B7">
      <w:pPr>
        <w:jc w:val="both"/>
        <w:rPr>
          <w:rFonts w:ascii="Bookman Old Style" w:eastAsia="Calibri" w:hAnsi="Bookman Old Style" w:cs="Arial"/>
          <w:bCs/>
        </w:rPr>
      </w:pPr>
      <w:r w:rsidRPr="00043C11">
        <w:rPr>
          <w:rFonts w:ascii="Bookman Old Style" w:hAnsi="Bookman Old Style" w:cs="Arial"/>
          <w:b/>
          <w:bCs/>
        </w:rPr>
        <w:t>ARTÍCULO 3°.</w:t>
      </w:r>
      <w:r w:rsidRPr="006D714A">
        <w:rPr>
          <w:rFonts w:ascii="Bookman Old Style" w:eastAsia="Calibri" w:hAnsi="Bookman Old Style" w:cs="Arial"/>
          <w:bCs/>
        </w:rPr>
        <w:t xml:space="preserve"> Modifíquese el artículo 287 de la Constitución Política, el cual quedará así:</w:t>
      </w:r>
    </w:p>
    <w:p w:rsidR="006012B7" w:rsidRPr="006D714A" w:rsidRDefault="006012B7" w:rsidP="006012B7">
      <w:pPr>
        <w:jc w:val="both"/>
        <w:rPr>
          <w:rFonts w:ascii="Bookman Old Style" w:eastAsia="Calibri" w:hAnsi="Bookman Old Style" w:cs="Arial"/>
          <w:bCs/>
        </w:rPr>
      </w:pPr>
    </w:p>
    <w:p w:rsidR="006012B7" w:rsidRDefault="006012B7" w:rsidP="006012B7">
      <w:pPr>
        <w:ind w:left="708"/>
        <w:jc w:val="both"/>
        <w:rPr>
          <w:rFonts w:ascii="Bookman Old Style" w:eastAsia="Calibri" w:hAnsi="Bookman Old Style" w:cs="Arial"/>
          <w:bCs/>
        </w:rPr>
      </w:pPr>
      <w:r w:rsidRPr="00043C11">
        <w:rPr>
          <w:rFonts w:ascii="Bookman Old Style" w:eastAsia="Calibri" w:hAnsi="Bookman Old Style" w:cs="Arial"/>
          <w:b/>
          <w:bCs/>
        </w:rPr>
        <w:t>ARTÍCULO 287.</w:t>
      </w:r>
      <w:r w:rsidRPr="006D714A">
        <w:rPr>
          <w:rFonts w:ascii="Bookman Old Style" w:eastAsia="Calibri" w:hAnsi="Bookman Old Style" w:cs="Arial"/>
          <w:bCs/>
        </w:rPr>
        <w:t xml:space="preserve"> Las entidades territoriales gozan de autonomía para la gestión de sus intereses, y dentro de los límites de la Constitución y la ley. En tal virtud tendrán los siguientes derechos:</w:t>
      </w:r>
    </w:p>
    <w:p w:rsidR="006012B7" w:rsidRPr="006D714A" w:rsidRDefault="006012B7" w:rsidP="006012B7">
      <w:pPr>
        <w:ind w:left="708"/>
        <w:jc w:val="both"/>
        <w:rPr>
          <w:rFonts w:ascii="Bookman Old Style" w:eastAsia="Calibri" w:hAnsi="Bookman Old Style" w:cs="Arial"/>
          <w:bCs/>
        </w:rPr>
      </w:pPr>
    </w:p>
    <w:p w:rsidR="006012B7" w:rsidRPr="006D714A" w:rsidRDefault="006012B7" w:rsidP="006012B7">
      <w:pPr>
        <w:ind w:left="708"/>
        <w:jc w:val="both"/>
        <w:rPr>
          <w:rFonts w:ascii="Bookman Old Style" w:eastAsia="Calibri" w:hAnsi="Bookman Old Style" w:cs="Arial"/>
          <w:bCs/>
        </w:rPr>
      </w:pPr>
      <w:r w:rsidRPr="006D714A">
        <w:rPr>
          <w:rFonts w:ascii="Bookman Old Style" w:eastAsia="Calibri" w:hAnsi="Bookman Old Style" w:cs="Arial"/>
          <w:bCs/>
        </w:rPr>
        <w:t>1. Gobernarse por autoridades propias.</w:t>
      </w:r>
    </w:p>
    <w:p w:rsidR="006012B7" w:rsidRPr="006D714A" w:rsidRDefault="006012B7" w:rsidP="006012B7">
      <w:pPr>
        <w:ind w:left="708"/>
        <w:jc w:val="both"/>
        <w:rPr>
          <w:rFonts w:ascii="Bookman Old Style" w:eastAsia="Calibri" w:hAnsi="Bookman Old Style" w:cs="Arial"/>
          <w:bCs/>
        </w:rPr>
      </w:pPr>
      <w:r w:rsidRPr="006D714A">
        <w:rPr>
          <w:rFonts w:ascii="Bookman Old Style" w:eastAsia="Calibri" w:hAnsi="Bookman Old Style" w:cs="Arial"/>
          <w:bCs/>
        </w:rPr>
        <w:t>2. Ejercer las competencias que les correspondan.</w:t>
      </w:r>
    </w:p>
    <w:p w:rsidR="006012B7" w:rsidRPr="006D714A" w:rsidRDefault="006012B7" w:rsidP="006012B7">
      <w:pPr>
        <w:ind w:left="708"/>
        <w:jc w:val="both"/>
        <w:rPr>
          <w:rFonts w:ascii="Bookman Old Style" w:eastAsia="Calibri" w:hAnsi="Bookman Old Style" w:cs="Arial"/>
          <w:bCs/>
        </w:rPr>
      </w:pPr>
      <w:r w:rsidRPr="006D714A">
        <w:rPr>
          <w:rFonts w:ascii="Bookman Old Style" w:eastAsia="Calibri" w:hAnsi="Bookman Old Style" w:cs="Arial"/>
          <w:bCs/>
        </w:rPr>
        <w:t>3. Administrar los recursos y establecer los tributos necesarios para el cumplimiento de sus funciones.</w:t>
      </w:r>
    </w:p>
    <w:p w:rsidR="006012B7" w:rsidRPr="006D714A" w:rsidRDefault="006012B7" w:rsidP="006012B7">
      <w:pPr>
        <w:ind w:left="708"/>
        <w:jc w:val="both"/>
        <w:rPr>
          <w:rFonts w:ascii="Bookman Old Style" w:eastAsia="Calibri" w:hAnsi="Bookman Old Style" w:cs="Arial"/>
          <w:bCs/>
        </w:rPr>
      </w:pPr>
      <w:r w:rsidRPr="006D714A">
        <w:rPr>
          <w:rFonts w:ascii="Bookman Old Style" w:eastAsia="Calibri" w:hAnsi="Bookman Old Style" w:cs="Arial"/>
          <w:bCs/>
        </w:rPr>
        <w:t>4. Participar en las rentas nacionales.</w:t>
      </w:r>
    </w:p>
    <w:p w:rsidR="006012B7" w:rsidRPr="006D714A" w:rsidRDefault="006012B7" w:rsidP="006012B7">
      <w:pPr>
        <w:pStyle w:val="NormalWeb"/>
        <w:spacing w:line="270" w:lineRule="atLeast"/>
        <w:ind w:left="708"/>
        <w:jc w:val="both"/>
        <w:rPr>
          <w:rFonts w:ascii="Bookman Old Style" w:hAnsi="Bookman Old Style" w:cs="Arial"/>
          <w:b/>
          <w:bCs/>
          <w:sz w:val="22"/>
          <w:szCs w:val="22"/>
        </w:rPr>
      </w:pPr>
      <w:r w:rsidRPr="006D714A">
        <w:rPr>
          <w:rFonts w:ascii="Bookman Old Style" w:eastAsia="Calibri" w:hAnsi="Bookman Old Style" w:cs="Arial"/>
          <w:bCs/>
          <w:sz w:val="22"/>
          <w:szCs w:val="22"/>
        </w:rPr>
        <w:lastRenderedPageBreak/>
        <w:t xml:space="preserve">5. Establecer, recaudar y administrar tributos a favor </w:t>
      </w:r>
      <w:r>
        <w:rPr>
          <w:rFonts w:ascii="Bookman Old Style" w:eastAsia="Calibri" w:hAnsi="Bookman Old Style" w:cs="Arial"/>
          <w:bCs/>
          <w:sz w:val="22"/>
          <w:szCs w:val="22"/>
        </w:rPr>
        <w:t xml:space="preserve">del respectivo orden municipal o </w:t>
      </w:r>
      <w:r w:rsidRPr="006D714A">
        <w:rPr>
          <w:rFonts w:ascii="Bookman Old Style" w:eastAsia="Calibri" w:hAnsi="Bookman Old Style" w:cs="Arial"/>
          <w:bCs/>
          <w:sz w:val="22"/>
          <w:szCs w:val="22"/>
        </w:rPr>
        <w:t>distrital, por las distintas actividades relativas a la distribución o venta de cannabis para uso de adultos, de acuerdo a la ley.</w:t>
      </w:r>
      <w:r>
        <w:rPr>
          <w:rFonts w:ascii="Bookman Old Style" w:eastAsia="Calibri" w:hAnsi="Bookman Old Style" w:cs="Arial"/>
          <w:bCs/>
          <w:sz w:val="22"/>
          <w:szCs w:val="22"/>
        </w:rPr>
        <w:t xml:space="preserve"> Los tributos tendrán como destinación los sistemas de salud y educación.</w:t>
      </w:r>
    </w:p>
    <w:p w:rsidR="006012B7" w:rsidRPr="006D714A" w:rsidRDefault="006012B7" w:rsidP="006012B7">
      <w:pPr>
        <w:pStyle w:val="NormalWeb"/>
        <w:spacing w:line="270" w:lineRule="atLeast"/>
        <w:jc w:val="both"/>
        <w:rPr>
          <w:rFonts w:ascii="Bookman Old Style" w:eastAsia="Calibri" w:hAnsi="Bookman Old Style" w:cs="Arial"/>
          <w:bCs/>
          <w:sz w:val="22"/>
          <w:szCs w:val="22"/>
        </w:rPr>
      </w:pPr>
      <w:r w:rsidRPr="00043C11">
        <w:rPr>
          <w:rFonts w:ascii="Bookman Old Style" w:hAnsi="Bookman Old Style" w:cs="Arial"/>
          <w:b/>
          <w:bCs/>
          <w:sz w:val="22"/>
          <w:szCs w:val="22"/>
        </w:rPr>
        <w:t>ARTÍCULO 4.</w:t>
      </w:r>
      <w:r w:rsidRPr="006D714A">
        <w:rPr>
          <w:rFonts w:ascii="Bookman Old Style" w:hAnsi="Bookman Old Style" w:cs="Arial"/>
          <w:b/>
          <w:bCs/>
          <w:sz w:val="22"/>
          <w:szCs w:val="22"/>
        </w:rPr>
        <w:t xml:space="preserve"> </w:t>
      </w:r>
      <w:r w:rsidRPr="006D714A">
        <w:rPr>
          <w:rFonts w:ascii="Bookman Old Style" w:eastAsia="Calibri" w:hAnsi="Bookman Old Style" w:cs="Arial"/>
          <w:bCs/>
          <w:sz w:val="22"/>
          <w:szCs w:val="22"/>
        </w:rPr>
        <w:t>Modifíquese el artículo 317 de la Constitución Política, el cual quedará así:</w:t>
      </w:r>
    </w:p>
    <w:p w:rsidR="006012B7" w:rsidRPr="006D714A" w:rsidRDefault="006012B7" w:rsidP="006012B7">
      <w:pPr>
        <w:pStyle w:val="NormalWeb"/>
        <w:spacing w:line="270" w:lineRule="atLeast"/>
        <w:ind w:left="708"/>
        <w:jc w:val="both"/>
        <w:rPr>
          <w:rFonts w:ascii="Bookman Old Style" w:hAnsi="Bookman Old Style" w:cs="Arial"/>
          <w:sz w:val="22"/>
          <w:szCs w:val="22"/>
        </w:rPr>
      </w:pPr>
      <w:r w:rsidRPr="006D714A">
        <w:rPr>
          <w:rFonts w:ascii="Bookman Old Style" w:hAnsi="Bookman Old Style" w:cs="Arial"/>
          <w:b/>
          <w:bCs/>
          <w:sz w:val="22"/>
          <w:szCs w:val="22"/>
        </w:rPr>
        <w:t>ARTÍCULO 317.</w:t>
      </w:r>
      <w:r w:rsidRPr="006D714A">
        <w:rPr>
          <w:rFonts w:ascii="Bookman Old Style" w:hAnsi="Bookman Old Style" w:cs="Arial"/>
          <w:sz w:val="22"/>
          <w:szCs w:val="22"/>
        </w:rPr>
        <w:t xml:space="preserve"> Solo los municipios podrán gravar la propiedad inmueble. Lo anterior no obsta para que otras entidades impongan contribución de valorización. </w:t>
      </w:r>
    </w:p>
    <w:p w:rsidR="006012B7" w:rsidRPr="006D714A" w:rsidRDefault="006012B7" w:rsidP="006012B7">
      <w:pPr>
        <w:pStyle w:val="NormalWeb"/>
        <w:spacing w:line="270" w:lineRule="atLeast"/>
        <w:ind w:left="708"/>
        <w:jc w:val="both"/>
        <w:rPr>
          <w:rFonts w:ascii="Bookman Old Style" w:hAnsi="Bookman Old Style" w:cs="Arial"/>
          <w:sz w:val="22"/>
          <w:szCs w:val="22"/>
        </w:rPr>
      </w:pPr>
      <w:r w:rsidRPr="006D714A">
        <w:rPr>
          <w:rFonts w:ascii="Bookman Old Style" w:hAnsi="Bookman Old Style" w:cs="Arial"/>
          <w:sz w:val="22"/>
          <w:szCs w:val="22"/>
        </w:rPr>
        <w:t>La ley destinará un porcentaje de estos tributos, que no podrá exceder del promedio de las sobretasas existentes, a las entidades encargadas del manejo y conservación del ambiente y de los recursos naturales renovables, de acuerdo con los planes de desarrollo de los municipios del área de su jurisdicción.</w:t>
      </w:r>
    </w:p>
    <w:p w:rsidR="006012B7" w:rsidRPr="006D714A" w:rsidRDefault="006012B7" w:rsidP="006012B7">
      <w:pPr>
        <w:ind w:left="708"/>
        <w:jc w:val="both"/>
        <w:rPr>
          <w:rFonts w:ascii="Bookman Old Style" w:hAnsi="Bookman Old Style" w:cs="Arial"/>
        </w:rPr>
      </w:pPr>
      <w:r w:rsidRPr="006D714A">
        <w:rPr>
          <w:rFonts w:ascii="Bookman Old Style" w:hAnsi="Bookman Old Style" w:cs="Arial"/>
        </w:rPr>
        <w:t>La ley regulará los impuestos que decreten los municipios y distritos a su favor, previa aprobación de los concejos, por el uso de inmuebles en actividades relativas al cannabis de uso para adultos. Estos impuestos tendrán como destinación los sistemas de salud y educación, y el sector agricultura.</w:t>
      </w:r>
    </w:p>
    <w:p w:rsidR="006012B7" w:rsidRDefault="006012B7" w:rsidP="006012B7">
      <w:pPr>
        <w:jc w:val="both"/>
        <w:rPr>
          <w:rFonts w:ascii="Bookman Old Style" w:hAnsi="Bookman Old Style" w:cs="Arial"/>
          <w:b/>
          <w:bCs/>
        </w:rPr>
      </w:pPr>
    </w:p>
    <w:p w:rsidR="006012B7" w:rsidRPr="00043C11" w:rsidRDefault="006012B7" w:rsidP="006012B7">
      <w:pPr>
        <w:jc w:val="both"/>
        <w:rPr>
          <w:rFonts w:ascii="Bookman Old Style" w:hAnsi="Bookman Old Style" w:cs="Arial"/>
          <w:b/>
          <w:bCs/>
        </w:rPr>
      </w:pPr>
      <w:r>
        <w:rPr>
          <w:rFonts w:ascii="Bookman Old Style" w:hAnsi="Bookman Old Style" w:cs="Arial"/>
          <w:b/>
          <w:bCs/>
        </w:rPr>
        <w:t>ARTÍCULO 5</w:t>
      </w:r>
      <w:r w:rsidRPr="00043C11">
        <w:rPr>
          <w:rFonts w:ascii="Bookman Old Style" w:hAnsi="Bookman Old Style" w:cs="Arial"/>
          <w:b/>
          <w:bCs/>
        </w:rPr>
        <w:t xml:space="preserve">. TRANSITORIO. </w:t>
      </w:r>
    </w:p>
    <w:p w:rsidR="006012B7" w:rsidRDefault="006012B7" w:rsidP="006012B7">
      <w:pPr>
        <w:jc w:val="both"/>
        <w:rPr>
          <w:rFonts w:ascii="Bookman Old Style" w:hAnsi="Bookman Old Style" w:cs="Arial"/>
          <w:b/>
          <w:bCs/>
        </w:rPr>
      </w:pPr>
    </w:p>
    <w:p w:rsidR="006012B7" w:rsidRDefault="006012B7" w:rsidP="006012B7">
      <w:pPr>
        <w:jc w:val="both"/>
        <w:rPr>
          <w:rFonts w:ascii="Bookman Old Style" w:hAnsi="Bookman Old Style" w:cs="Arial"/>
        </w:rPr>
      </w:pPr>
      <w:r w:rsidRPr="006D714A">
        <w:rPr>
          <w:rFonts w:ascii="Bookman Old Style" w:hAnsi="Bookman Old Style" w:cs="Arial"/>
        </w:rPr>
        <w:t>El Congreso de la</w:t>
      </w:r>
      <w:r w:rsidRPr="006D714A">
        <w:rPr>
          <w:rFonts w:ascii="Bookman Old Style" w:hAnsi="Bookman Old Style" w:cs="Arial"/>
          <w:b/>
          <w:bCs/>
        </w:rPr>
        <w:t xml:space="preserve"> </w:t>
      </w:r>
      <w:r w:rsidRPr="006D714A">
        <w:rPr>
          <w:rFonts w:ascii="Bookman Old Style" w:hAnsi="Bookman Old Style" w:cs="Arial"/>
        </w:rPr>
        <w:t>Repúblic</w:t>
      </w:r>
      <w:r>
        <w:rPr>
          <w:rFonts w:ascii="Bookman Old Style" w:hAnsi="Bookman Old Style" w:cs="Arial"/>
        </w:rPr>
        <w:t>a expedirá la ley que reglamente y autorice</w:t>
      </w:r>
      <w:r w:rsidRPr="006D714A">
        <w:rPr>
          <w:rFonts w:ascii="Bookman Old Style" w:hAnsi="Bookman Old Style" w:cs="Arial"/>
        </w:rPr>
        <w:t xml:space="preserve"> a las entidades territoriales la imposición de los tributos señalados en el presente Acto Legislativo, dentro de los doce (12) meses siguientes a su entrada en vigencia.</w:t>
      </w:r>
    </w:p>
    <w:p w:rsidR="006012B7" w:rsidRPr="006D714A" w:rsidRDefault="006012B7" w:rsidP="006012B7">
      <w:pPr>
        <w:jc w:val="both"/>
        <w:rPr>
          <w:rFonts w:ascii="Bookman Old Style" w:hAnsi="Bookman Old Style" w:cs="Arial"/>
        </w:rPr>
      </w:pPr>
    </w:p>
    <w:p w:rsidR="006012B7" w:rsidRPr="006D714A" w:rsidRDefault="006012B7" w:rsidP="006012B7">
      <w:pPr>
        <w:jc w:val="both"/>
        <w:rPr>
          <w:rFonts w:ascii="Bookman Old Style" w:hAnsi="Bookman Old Style" w:cs="Arial"/>
        </w:rPr>
      </w:pPr>
      <w:r>
        <w:rPr>
          <w:rFonts w:ascii="Bookman Old Style" w:hAnsi="Bookman Old Style" w:cs="Arial"/>
          <w:b/>
          <w:bCs/>
        </w:rPr>
        <w:t>ARTÍCULO 6</w:t>
      </w:r>
      <w:r w:rsidRPr="00043C11">
        <w:rPr>
          <w:rFonts w:ascii="Bookman Old Style" w:hAnsi="Bookman Old Style" w:cs="Arial"/>
          <w:b/>
          <w:bCs/>
        </w:rPr>
        <w:t>°. VIGENCIA.</w:t>
      </w:r>
      <w:r w:rsidRPr="006D714A">
        <w:rPr>
          <w:rFonts w:ascii="Bookman Old Style" w:hAnsi="Bookman Old Style" w:cs="Arial"/>
        </w:rPr>
        <w:t> El presente Acto Legislativo rige a partir de su promulgación. El artículo 1 entrará en vigencia seis (6) meses después de la promulgación de este acto legislativo.</w:t>
      </w:r>
    </w:p>
    <w:p w:rsidR="007E2A01" w:rsidRPr="0051190A" w:rsidRDefault="007E2A01" w:rsidP="007E2A01">
      <w:pPr>
        <w:rPr>
          <w:rFonts w:ascii="Bookman Old Style" w:eastAsia="Calibri" w:hAnsi="Bookman Old Style"/>
          <w:b/>
        </w:rPr>
      </w:pPr>
    </w:p>
    <w:p w:rsidR="007E2A01" w:rsidRPr="007E11E6" w:rsidRDefault="007E2A01" w:rsidP="007E2A01">
      <w:pPr>
        <w:jc w:val="center"/>
        <w:rPr>
          <w:rFonts w:ascii="Bookman Old Style" w:eastAsia="Calibri" w:hAnsi="Bookman Old Style"/>
          <w:b/>
        </w:rPr>
      </w:pPr>
    </w:p>
    <w:p w:rsidR="007E2A01" w:rsidRDefault="006012B7" w:rsidP="007E2A01">
      <w:pPr>
        <w:pStyle w:val="Prrafodelista"/>
        <w:numPr>
          <w:ilvl w:val="0"/>
          <w:numId w:val="35"/>
        </w:numPr>
        <w:jc w:val="center"/>
        <w:rPr>
          <w:rFonts w:ascii="Bookman Old Style" w:eastAsia="Calibri" w:hAnsi="Bookman Old Style"/>
          <w:b/>
        </w:rPr>
      </w:pPr>
      <w:r>
        <w:rPr>
          <w:rFonts w:ascii="Bookman Old Style" w:eastAsia="Calibri" w:hAnsi="Bookman Old Style"/>
          <w:b/>
        </w:rPr>
        <w:t>PROPOSICIONES PRESENTADAS EN PRIMER DEBATE DE SEGUNDA VUELTA.</w:t>
      </w:r>
    </w:p>
    <w:p w:rsidR="006012B7" w:rsidRDefault="006012B7" w:rsidP="006012B7">
      <w:pPr>
        <w:pStyle w:val="Prrafodelista"/>
        <w:ind w:left="360"/>
        <w:rPr>
          <w:rFonts w:ascii="Bookman Old Style" w:eastAsia="Calibri" w:hAnsi="Bookman Old Style"/>
          <w:b/>
        </w:rPr>
      </w:pPr>
    </w:p>
    <w:tbl>
      <w:tblPr>
        <w:tblStyle w:val="Tablaconcuadrcula"/>
        <w:tblW w:w="0" w:type="auto"/>
        <w:tblInd w:w="360" w:type="dxa"/>
        <w:tblLook w:val="04A0" w:firstRow="1" w:lastRow="0" w:firstColumn="1" w:lastColumn="0" w:noHBand="0" w:noVBand="1"/>
      </w:tblPr>
      <w:tblGrid>
        <w:gridCol w:w="769"/>
        <w:gridCol w:w="1701"/>
        <w:gridCol w:w="3544"/>
        <w:gridCol w:w="2454"/>
      </w:tblGrid>
      <w:tr w:rsidR="0020217B" w:rsidTr="00481195">
        <w:tc>
          <w:tcPr>
            <w:tcW w:w="769" w:type="dxa"/>
          </w:tcPr>
          <w:p w:rsidR="0020217B" w:rsidRDefault="0020217B" w:rsidP="0020217B">
            <w:pPr>
              <w:pStyle w:val="Prrafodelista"/>
              <w:ind w:left="0"/>
              <w:jc w:val="center"/>
              <w:rPr>
                <w:rFonts w:ascii="Bookman Old Style" w:eastAsia="Calibri" w:hAnsi="Bookman Old Style"/>
                <w:b/>
              </w:rPr>
            </w:pPr>
            <w:r>
              <w:rPr>
                <w:rFonts w:ascii="Bookman Old Style" w:eastAsia="Calibri" w:hAnsi="Bookman Old Style"/>
                <w:b/>
              </w:rPr>
              <w:t>ART</w:t>
            </w:r>
          </w:p>
        </w:tc>
        <w:tc>
          <w:tcPr>
            <w:tcW w:w="1701" w:type="dxa"/>
          </w:tcPr>
          <w:p w:rsidR="0020217B" w:rsidRDefault="0020217B" w:rsidP="006012B7">
            <w:pPr>
              <w:pStyle w:val="Prrafodelista"/>
              <w:ind w:left="0"/>
              <w:rPr>
                <w:rFonts w:ascii="Bookman Old Style" w:eastAsia="Calibri" w:hAnsi="Bookman Old Style"/>
                <w:b/>
              </w:rPr>
            </w:pPr>
            <w:r>
              <w:rPr>
                <w:rFonts w:ascii="Bookman Old Style" w:eastAsia="Calibri" w:hAnsi="Bookman Old Style"/>
                <w:b/>
              </w:rPr>
              <w:t>AUTOR</w:t>
            </w:r>
          </w:p>
        </w:tc>
        <w:tc>
          <w:tcPr>
            <w:tcW w:w="3544" w:type="dxa"/>
          </w:tcPr>
          <w:p w:rsidR="0020217B" w:rsidRDefault="0020217B" w:rsidP="006012B7">
            <w:pPr>
              <w:pStyle w:val="Prrafodelista"/>
              <w:ind w:left="0"/>
              <w:rPr>
                <w:rFonts w:ascii="Bookman Old Style" w:eastAsia="Calibri" w:hAnsi="Bookman Old Style"/>
                <w:b/>
              </w:rPr>
            </w:pPr>
            <w:r>
              <w:rPr>
                <w:rFonts w:ascii="Bookman Old Style" w:eastAsia="Calibri" w:hAnsi="Bookman Old Style"/>
                <w:b/>
              </w:rPr>
              <w:t>SENTIDO DE LA PROPOSICIÓN</w:t>
            </w:r>
          </w:p>
        </w:tc>
        <w:tc>
          <w:tcPr>
            <w:tcW w:w="2454" w:type="dxa"/>
          </w:tcPr>
          <w:p w:rsidR="0020217B" w:rsidRDefault="0020217B" w:rsidP="006012B7">
            <w:pPr>
              <w:pStyle w:val="Prrafodelista"/>
              <w:ind w:left="0"/>
              <w:rPr>
                <w:rFonts w:ascii="Bookman Old Style" w:eastAsia="Calibri" w:hAnsi="Bookman Old Style"/>
                <w:b/>
              </w:rPr>
            </w:pPr>
            <w:r>
              <w:rPr>
                <w:rFonts w:ascii="Bookman Old Style" w:eastAsia="Calibri" w:hAnsi="Bookman Old Style"/>
                <w:b/>
              </w:rPr>
              <w:t>COMENTARIO</w:t>
            </w:r>
          </w:p>
        </w:tc>
      </w:tr>
      <w:tr w:rsidR="0020217B" w:rsidTr="00481195">
        <w:tc>
          <w:tcPr>
            <w:tcW w:w="769" w:type="dxa"/>
          </w:tcPr>
          <w:p w:rsidR="0020217B" w:rsidRDefault="0020217B" w:rsidP="0020217B">
            <w:pPr>
              <w:pStyle w:val="Prrafodelista"/>
              <w:ind w:left="0"/>
              <w:jc w:val="center"/>
              <w:rPr>
                <w:rFonts w:ascii="Bookman Old Style" w:eastAsia="Calibri" w:hAnsi="Bookman Old Style"/>
                <w:b/>
              </w:rPr>
            </w:pPr>
            <w:r>
              <w:rPr>
                <w:rFonts w:ascii="Bookman Old Style" w:eastAsia="Calibri" w:hAnsi="Bookman Old Style"/>
                <w:b/>
              </w:rPr>
              <w:t>3°</w:t>
            </w:r>
          </w:p>
        </w:tc>
        <w:tc>
          <w:tcPr>
            <w:tcW w:w="1701" w:type="dxa"/>
          </w:tcPr>
          <w:p w:rsidR="0020217B" w:rsidRDefault="0020217B" w:rsidP="006012B7">
            <w:pPr>
              <w:pStyle w:val="Prrafodelista"/>
              <w:ind w:left="0"/>
              <w:rPr>
                <w:rFonts w:ascii="Bookman Old Style" w:eastAsia="Calibri" w:hAnsi="Bookman Old Style"/>
                <w:b/>
              </w:rPr>
            </w:pPr>
            <w:r>
              <w:rPr>
                <w:rFonts w:ascii="Bookman Old Style" w:eastAsia="Calibri" w:hAnsi="Bookman Old Style"/>
                <w:b/>
              </w:rPr>
              <w:t>H.R. Oscar Sánchez</w:t>
            </w:r>
          </w:p>
        </w:tc>
        <w:tc>
          <w:tcPr>
            <w:tcW w:w="3544" w:type="dxa"/>
          </w:tcPr>
          <w:p w:rsidR="0020217B" w:rsidRPr="0020217B" w:rsidRDefault="0020217B" w:rsidP="006012B7">
            <w:pPr>
              <w:pStyle w:val="Prrafodelista"/>
              <w:ind w:left="0"/>
              <w:rPr>
                <w:rFonts w:ascii="Bookman Old Style" w:eastAsia="Calibri" w:hAnsi="Bookman Old Style"/>
              </w:rPr>
            </w:pPr>
            <w:r w:rsidRPr="0020217B">
              <w:rPr>
                <w:rFonts w:ascii="Bookman Old Style" w:eastAsia="Calibri" w:hAnsi="Bookman Old Style"/>
              </w:rPr>
              <w:t xml:space="preserve">Eliminación de la palabra “departamental” del inciso 5° y destinación específica de tributos a sistemas de educación y salud. </w:t>
            </w:r>
          </w:p>
        </w:tc>
        <w:tc>
          <w:tcPr>
            <w:tcW w:w="2454" w:type="dxa"/>
          </w:tcPr>
          <w:p w:rsidR="0020217B" w:rsidRDefault="0020217B" w:rsidP="006012B7">
            <w:pPr>
              <w:pStyle w:val="Prrafodelista"/>
              <w:ind w:left="0"/>
              <w:rPr>
                <w:rFonts w:ascii="Bookman Old Style" w:eastAsia="Calibri" w:hAnsi="Bookman Old Style"/>
                <w:b/>
              </w:rPr>
            </w:pPr>
            <w:r>
              <w:rPr>
                <w:rFonts w:ascii="Bookman Old Style" w:eastAsia="Calibri" w:hAnsi="Bookman Old Style"/>
                <w:b/>
              </w:rPr>
              <w:t>Avalada</w:t>
            </w:r>
          </w:p>
        </w:tc>
      </w:tr>
      <w:tr w:rsidR="0020217B" w:rsidTr="00481195">
        <w:tc>
          <w:tcPr>
            <w:tcW w:w="769" w:type="dxa"/>
          </w:tcPr>
          <w:p w:rsidR="0020217B" w:rsidRDefault="0020217B" w:rsidP="0020217B">
            <w:pPr>
              <w:pStyle w:val="Prrafodelista"/>
              <w:ind w:left="0"/>
              <w:jc w:val="center"/>
              <w:rPr>
                <w:rFonts w:ascii="Bookman Old Style" w:eastAsia="Calibri" w:hAnsi="Bookman Old Style"/>
                <w:b/>
              </w:rPr>
            </w:pPr>
            <w:r>
              <w:rPr>
                <w:rFonts w:ascii="Bookman Old Style" w:eastAsia="Calibri" w:hAnsi="Bookman Old Style"/>
                <w:b/>
              </w:rPr>
              <w:lastRenderedPageBreak/>
              <w:t>1°</w:t>
            </w:r>
          </w:p>
        </w:tc>
        <w:tc>
          <w:tcPr>
            <w:tcW w:w="1701" w:type="dxa"/>
          </w:tcPr>
          <w:p w:rsidR="0020217B" w:rsidRDefault="0020217B" w:rsidP="006012B7">
            <w:pPr>
              <w:pStyle w:val="Prrafodelista"/>
              <w:ind w:left="0"/>
              <w:rPr>
                <w:rFonts w:ascii="Bookman Old Style" w:eastAsia="Calibri" w:hAnsi="Bookman Old Style"/>
                <w:b/>
              </w:rPr>
            </w:pPr>
            <w:r>
              <w:rPr>
                <w:rFonts w:ascii="Bookman Old Style" w:eastAsia="Calibri" w:hAnsi="Bookman Old Style"/>
                <w:b/>
              </w:rPr>
              <w:t>H.R. Orlando Castillo</w:t>
            </w:r>
          </w:p>
        </w:tc>
        <w:tc>
          <w:tcPr>
            <w:tcW w:w="3544" w:type="dxa"/>
          </w:tcPr>
          <w:p w:rsidR="0020217B" w:rsidRPr="00D37C0B" w:rsidRDefault="0020217B" w:rsidP="006012B7">
            <w:pPr>
              <w:pStyle w:val="Prrafodelista"/>
              <w:ind w:left="0"/>
              <w:rPr>
                <w:rFonts w:ascii="Bookman Old Style" w:eastAsia="Calibri" w:hAnsi="Bookman Old Style"/>
              </w:rPr>
            </w:pPr>
            <w:r w:rsidRPr="00D37C0B">
              <w:rPr>
                <w:rFonts w:ascii="Bookman Old Style" w:eastAsia="Calibri" w:hAnsi="Bookman Old Style"/>
              </w:rPr>
              <w:t>Eliminar el inciso en que se garantiza</w:t>
            </w:r>
            <w:r w:rsidR="00D37C0B" w:rsidRPr="00D37C0B">
              <w:rPr>
                <w:rFonts w:ascii="Bookman Old Style" w:eastAsia="Calibri" w:hAnsi="Bookman Old Style"/>
              </w:rPr>
              <w:t xml:space="preserve"> el tratamiento de los consumidores. </w:t>
            </w:r>
            <w:r w:rsidRPr="00D37C0B">
              <w:rPr>
                <w:rFonts w:ascii="Bookman Old Style" w:eastAsia="Calibri" w:hAnsi="Bookman Old Style"/>
              </w:rPr>
              <w:t xml:space="preserve"> </w:t>
            </w:r>
          </w:p>
        </w:tc>
        <w:tc>
          <w:tcPr>
            <w:tcW w:w="2454" w:type="dxa"/>
          </w:tcPr>
          <w:p w:rsidR="0020217B" w:rsidRDefault="00D37C0B" w:rsidP="006012B7">
            <w:pPr>
              <w:pStyle w:val="Prrafodelista"/>
              <w:ind w:left="0"/>
              <w:rPr>
                <w:rFonts w:ascii="Bookman Old Style" w:eastAsia="Calibri" w:hAnsi="Bookman Old Style"/>
                <w:b/>
              </w:rPr>
            </w:pPr>
            <w:r>
              <w:rPr>
                <w:rFonts w:ascii="Bookman Old Style" w:eastAsia="Calibri" w:hAnsi="Bookman Old Style"/>
                <w:b/>
              </w:rPr>
              <w:t>Quedó como constancia.</w:t>
            </w:r>
          </w:p>
          <w:p w:rsidR="00D37C0B" w:rsidRDefault="00D37C0B" w:rsidP="006012B7">
            <w:pPr>
              <w:pStyle w:val="Prrafodelista"/>
              <w:ind w:left="0"/>
              <w:rPr>
                <w:rFonts w:ascii="Bookman Old Style" w:eastAsia="Calibri" w:hAnsi="Bookman Old Style"/>
                <w:b/>
              </w:rPr>
            </w:pPr>
          </w:p>
          <w:p w:rsidR="00D37C0B" w:rsidRPr="00D37C0B" w:rsidRDefault="00D37C0B" w:rsidP="006012B7">
            <w:pPr>
              <w:pStyle w:val="Prrafodelista"/>
              <w:ind w:left="0"/>
              <w:rPr>
                <w:rFonts w:ascii="Bookman Old Style" w:eastAsia="Calibri" w:hAnsi="Bookman Old Style"/>
              </w:rPr>
            </w:pPr>
            <w:r w:rsidRPr="00D37C0B">
              <w:rPr>
                <w:rFonts w:ascii="Bookman Old Style" w:eastAsia="Calibri" w:hAnsi="Bookman Old Style"/>
              </w:rPr>
              <w:t xml:space="preserve">Se estimó inconveniente y contrario a los principios de un Estado solidario. </w:t>
            </w:r>
          </w:p>
          <w:p w:rsidR="00D37C0B" w:rsidRDefault="00D37C0B" w:rsidP="006012B7">
            <w:pPr>
              <w:pStyle w:val="Prrafodelista"/>
              <w:ind w:left="0"/>
              <w:rPr>
                <w:rFonts w:ascii="Bookman Old Style" w:eastAsia="Calibri" w:hAnsi="Bookman Old Style"/>
                <w:b/>
              </w:rPr>
            </w:pPr>
          </w:p>
          <w:p w:rsidR="0020217B" w:rsidRDefault="0020217B" w:rsidP="006012B7">
            <w:pPr>
              <w:pStyle w:val="Prrafodelista"/>
              <w:ind w:left="0"/>
              <w:rPr>
                <w:rFonts w:ascii="Bookman Old Style" w:eastAsia="Calibri" w:hAnsi="Bookman Old Style"/>
                <w:b/>
              </w:rPr>
            </w:pPr>
          </w:p>
        </w:tc>
      </w:tr>
      <w:tr w:rsidR="0020217B" w:rsidTr="00481195">
        <w:tc>
          <w:tcPr>
            <w:tcW w:w="769" w:type="dxa"/>
          </w:tcPr>
          <w:p w:rsidR="0020217B" w:rsidRDefault="00D37C0B" w:rsidP="0020217B">
            <w:pPr>
              <w:pStyle w:val="Prrafodelista"/>
              <w:ind w:left="0"/>
              <w:jc w:val="center"/>
              <w:rPr>
                <w:rFonts w:ascii="Bookman Old Style" w:eastAsia="Calibri" w:hAnsi="Bookman Old Style"/>
                <w:b/>
              </w:rPr>
            </w:pPr>
            <w:r>
              <w:rPr>
                <w:rFonts w:ascii="Bookman Old Style" w:eastAsia="Calibri" w:hAnsi="Bookman Old Style"/>
                <w:b/>
              </w:rPr>
              <w:t>1°</w:t>
            </w:r>
          </w:p>
        </w:tc>
        <w:tc>
          <w:tcPr>
            <w:tcW w:w="1701" w:type="dxa"/>
          </w:tcPr>
          <w:p w:rsidR="0020217B" w:rsidRDefault="00D37C0B" w:rsidP="006012B7">
            <w:pPr>
              <w:pStyle w:val="Prrafodelista"/>
              <w:ind w:left="0"/>
              <w:rPr>
                <w:rFonts w:ascii="Bookman Old Style" w:eastAsia="Calibri" w:hAnsi="Bookman Old Style"/>
                <w:b/>
              </w:rPr>
            </w:pPr>
            <w:r>
              <w:rPr>
                <w:rFonts w:ascii="Bookman Old Style" w:eastAsia="Calibri" w:hAnsi="Bookman Old Style"/>
                <w:b/>
              </w:rPr>
              <w:t>H.R. Ana Paola García</w:t>
            </w:r>
          </w:p>
        </w:tc>
        <w:tc>
          <w:tcPr>
            <w:tcW w:w="3544" w:type="dxa"/>
          </w:tcPr>
          <w:p w:rsidR="0020217B" w:rsidRPr="00D37C0B" w:rsidRDefault="00D37C0B" w:rsidP="006012B7">
            <w:pPr>
              <w:pStyle w:val="Prrafodelista"/>
              <w:ind w:left="0"/>
              <w:rPr>
                <w:rFonts w:ascii="Bookman Old Style" w:eastAsia="Calibri" w:hAnsi="Bookman Old Style"/>
              </w:rPr>
            </w:pPr>
            <w:r>
              <w:rPr>
                <w:rFonts w:ascii="Bookman Old Style" w:eastAsia="Calibri" w:hAnsi="Bookman Old Style"/>
              </w:rPr>
              <w:t>Claridad en la redacción de un inciso.</w:t>
            </w:r>
          </w:p>
        </w:tc>
        <w:tc>
          <w:tcPr>
            <w:tcW w:w="2454" w:type="dxa"/>
          </w:tcPr>
          <w:p w:rsidR="00D37C0B" w:rsidRDefault="00D37C0B" w:rsidP="00D37C0B">
            <w:pPr>
              <w:pStyle w:val="Prrafodelista"/>
              <w:ind w:left="0"/>
              <w:rPr>
                <w:rFonts w:ascii="Bookman Old Style" w:eastAsia="Calibri" w:hAnsi="Bookman Old Style"/>
                <w:b/>
              </w:rPr>
            </w:pPr>
            <w:r>
              <w:rPr>
                <w:rFonts w:ascii="Bookman Old Style" w:eastAsia="Calibri" w:hAnsi="Bookman Old Style"/>
                <w:b/>
              </w:rPr>
              <w:t>Quedó como constancia.</w:t>
            </w:r>
          </w:p>
          <w:p w:rsidR="0020217B" w:rsidRPr="00D37C0B" w:rsidRDefault="00D37C0B" w:rsidP="006012B7">
            <w:pPr>
              <w:pStyle w:val="Prrafodelista"/>
              <w:ind w:left="0"/>
              <w:rPr>
                <w:rFonts w:ascii="Bookman Old Style" w:eastAsia="Calibri" w:hAnsi="Bookman Old Style"/>
              </w:rPr>
            </w:pPr>
            <w:r w:rsidRPr="00D37C0B">
              <w:rPr>
                <w:rFonts w:ascii="Bookman Old Style" w:eastAsia="Calibri" w:hAnsi="Bookman Old Style"/>
              </w:rPr>
              <w:t>Se acordó con la autora hacer el ajuste en la ponencia de segundo debate.</w:t>
            </w:r>
          </w:p>
        </w:tc>
      </w:tr>
      <w:tr w:rsidR="0020217B" w:rsidTr="00481195">
        <w:tc>
          <w:tcPr>
            <w:tcW w:w="769" w:type="dxa"/>
          </w:tcPr>
          <w:p w:rsidR="0020217B" w:rsidRDefault="00D37C0B" w:rsidP="0020217B">
            <w:pPr>
              <w:pStyle w:val="Prrafodelista"/>
              <w:ind w:left="0"/>
              <w:jc w:val="center"/>
              <w:rPr>
                <w:rFonts w:ascii="Bookman Old Style" w:eastAsia="Calibri" w:hAnsi="Bookman Old Style"/>
                <w:b/>
              </w:rPr>
            </w:pPr>
            <w:r>
              <w:rPr>
                <w:rFonts w:ascii="Bookman Old Style" w:eastAsia="Calibri" w:hAnsi="Bookman Old Style"/>
                <w:b/>
              </w:rPr>
              <w:t>1°</w:t>
            </w:r>
          </w:p>
        </w:tc>
        <w:tc>
          <w:tcPr>
            <w:tcW w:w="1701" w:type="dxa"/>
          </w:tcPr>
          <w:p w:rsidR="0020217B" w:rsidRDefault="00D37C0B" w:rsidP="006012B7">
            <w:pPr>
              <w:pStyle w:val="Prrafodelista"/>
              <w:ind w:left="0"/>
              <w:rPr>
                <w:rFonts w:ascii="Bookman Old Style" w:eastAsia="Calibri" w:hAnsi="Bookman Old Style"/>
                <w:b/>
              </w:rPr>
            </w:pPr>
            <w:r>
              <w:rPr>
                <w:rFonts w:ascii="Bookman Old Style" w:eastAsia="Calibri" w:hAnsi="Bookman Old Style"/>
                <w:b/>
              </w:rPr>
              <w:t>H.R. Ana Paola García</w:t>
            </w:r>
          </w:p>
        </w:tc>
        <w:tc>
          <w:tcPr>
            <w:tcW w:w="3544" w:type="dxa"/>
          </w:tcPr>
          <w:p w:rsidR="0020217B" w:rsidRPr="00D37C0B" w:rsidRDefault="00D37C0B" w:rsidP="006012B7">
            <w:pPr>
              <w:pStyle w:val="Prrafodelista"/>
              <w:ind w:left="0"/>
              <w:rPr>
                <w:rFonts w:ascii="Bookman Old Style" w:eastAsia="Calibri" w:hAnsi="Bookman Old Style"/>
              </w:rPr>
            </w:pPr>
            <w:r>
              <w:rPr>
                <w:rFonts w:ascii="Bookman Old Style" w:eastAsia="Calibri" w:hAnsi="Bookman Old Style"/>
              </w:rPr>
              <w:t>Cambiar el verbo “restringirá” por “prohibirá”.</w:t>
            </w:r>
          </w:p>
        </w:tc>
        <w:tc>
          <w:tcPr>
            <w:tcW w:w="2454" w:type="dxa"/>
          </w:tcPr>
          <w:p w:rsidR="00D37C0B" w:rsidRDefault="00D37C0B" w:rsidP="00D37C0B">
            <w:pPr>
              <w:pStyle w:val="Prrafodelista"/>
              <w:ind w:left="0"/>
              <w:rPr>
                <w:rFonts w:ascii="Bookman Old Style" w:eastAsia="Calibri" w:hAnsi="Bookman Old Style"/>
                <w:b/>
              </w:rPr>
            </w:pPr>
            <w:r>
              <w:rPr>
                <w:rFonts w:ascii="Bookman Old Style" w:eastAsia="Calibri" w:hAnsi="Bookman Old Style"/>
                <w:b/>
              </w:rPr>
              <w:t>Quedó como constancia.</w:t>
            </w:r>
          </w:p>
          <w:p w:rsidR="00D37C0B" w:rsidRDefault="00D37C0B" w:rsidP="00D37C0B">
            <w:pPr>
              <w:pStyle w:val="Prrafodelista"/>
              <w:ind w:left="0"/>
              <w:rPr>
                <w:rFonts w:ascii="Bookman Old Style" w:eastAsia="Calibri" w:hAnsi="Bookman Old Style"/>
                <w:b/>
              </w:rPr>
            </w:pPr>
          </w:p>
          <w:p w:rsidR="0020217B" w:rsidRPr="00D37C0B" w:rsidRDefault="00D37C0B" w:rsidP="006012B7">
            <w:pPr>
              <w:pStyle w:val="Prrafodelista"/>
              <w:ind w:left="0"/>
              <w:rPr>
                <w:rFonts w:ascii="Bookman Old Style" w:eastAsia="Calibri" w:hAnsi="Bookman Old Style"/>
              </w:rPr>
            </w:pPr>
            <w:r w:rsidRPr="00D37C0B">
              <w:rPr>
                <w:rFonts w:ascii="Bookman Old Style" w:eastAsia="Calibri" w:hAnsi="Bookman Old Style"/>
              </w:rPr>
              <w:t>Se acordó con la autora evaluar la posibilidad de hacer el cambio en la ponencia para segundo debate.</w:t>
            </w:r>
          </w:p>
        </w:tc>
      </w:tr>
      <w:tr w:rsidR="0020217B" w:rsidTr="00481195">
        <w:tc>
          <w:tcPr>
            <w:tcW w:w="769" w:type="dxa"/>
          </w:tcPr>
          <w:p w:rsidR="0020217B" w:rsidRDefault="00D37C0B" w:rsidP="0020217B">
            <w:pPr>
              <w:pStyle w:val="Prrafodelista"/>
              <w:ind w:left="0"/>
              <w:jc w:val="center"/>
              <w:rPr>
                <w:rFonts w:ascii="Bookman Old Style" w:eastAsia="Calibri" w:hAnsi="Bookman Old Style"/>
                <w:b/>
              </w:rPr>
            </w:pPr>
            <w:r>
              <w:rPr>
                <w:rFonts w:ascii="Bookman Old Style" w:eastAsia="Calibri" w:hAnsi="Bookman Old Style"/>
                <w:b/>
              </w:rPr>
              <w:t>1°</w:t>
            </w:r>
          </w:p>
        </w:tc>
        <w:tc>
          <w:tcPr>
            <w:tcW w:w="1701" w:type="dxa"/>
          </w:tcPr>
          <w:p w:rsidR="0020217B" w:rsidRDefault="00D37C0B" w:rsidP="006012B7">
            <w:pPr>
              <w:pStyle w:val="Prrafodelista"/>
              <w:ind w:left="0"/>
              <w:rPr>
                <w:rFonts w:ascii="Bookman Old Style" w:eastAsia="Calibri" w:hAnsi="Bookman Old Style"/>
                <w:b/>
              </w:rPr>
            </w:pPr>
            <w:r>
              <w:rPr>
                <w:rFonts w:ascii="Bookman Old Style" w:eastAsia="Calibri" w:hAnsi="Bookman Old Style"/>
                <w:b/>
              </w:rPr>
              <w:t>H.R. Ana Paola García</w:t>
            </w:r>
          </w:p>
        </w:tc>
        <w:tc>
          <w:tcPr>
            <w:tcW w:w="3544" w:type="dxa"/>
          </w:tcPr>
          <w:p w:rsidR="0020217B" w:rsidRPr="00D37C0B" w:rsidRDefault="00D37C0B" w:rsidP="006012B7">
            <w:pPr>
              <w:pStyle w:val="Prrafodelista"/>
              <w:ind w:left="0"/>
              <w:rPr>
                <w:rFonts w:ascii="Bookman Old Style" w:eastAsia="Calibri" w:hAnsi="Bookman Old Style"/>
              </w:rPr>
            </w:pPr>
            <w:r>
              <w:rPr>
                <w:rFonts w:ascii="Bookman Old Style" w:eastAsia="Calibri" w:hAnsi="Bookman Old Style"/>
              </w:rPr>
              <w:t xml:space="preserve">Priorizar a la población adolescente en las políticas de prevención. </w:t>
            </w:r>
          </w:p>
        </w:tc>
        <w:tc>
          <w:tcPr>
            <w:tcW w:w="2454" w:type="dxa"/>
          </w:tcPr>
          <w:p w:rsidR="00D37C0B" w:rsidRDefault="00D37C0B" w:rsidP="00D37C0B">
            <w:pPr>
              <w:pStyle w:val="Prrafodelista"/>
              <w:ind w:left="0"/>
              <w:rPr>
                <w:rFonts w:ascii="Bookman Old Style" w:eastAsia="Calibri" w:hAnsi="Bookman Old Style"/>
                <w:b/>
              </w:rPr>
            </w:pPr>
            <w:r>
              <w:rPr>
                <w:rFonts w:ascii="Bookman Old Style" w:eastAsia="Calibri" w:hAnsi="Bookman Old Style"/>
                <w:b/>
              </w:rPr>
              <w:t>Quedó como constancia.</w:t>
            </w:r>
          </w:p>
          <w:p w:rsidR="00D37C0B" w:rsidRDefault="00D37C0B" w:rsidP="00D37C0B">
            <w:pPr>
              <w:pStyle w:val="Prrafodelista"/>
              <w:ind w:left="0"/>
              <w:rPr>
                <w:rFonts w:ascii="Bookman Old Style" w:eastAsia="Calibri" w:hAnsi="Bookman Old Style"/>
                <w:b/>
              </w:rPr>
            </w:pPr>
            <w:r w:rsidRPr="00D37C0B">
              <w:rPr>
                <w:rFonts w:ascii="Bookman Old Style" w:eastAsia="Calibri" w:hAnsi="Bookman Old Style"/>
              </w:rPr>
              <w:t>Se acordó con la autora hacer el ajuste en la ponencia de segundo debate.</w:t>
            </w:r>
          </w:p>
          <w:p w:rsidR="0020217B" w:rsidRDefault="0020217B" w:rsidP="006012B7">
            <w:pPr>
              <w:pStyle w:val="Prrafodelista"/>
              <w:ind w:left="0"/>
              <w:rPr>
                <w:rFonts w:ascii="Bookman Old Style" w:eastAsia="Calibri" w:hAnsi="Bookman Old Style"/>
                <w:b/>
              </w:rPr>
            </w:pPr>
          </w:p>
        </w:tc>
      </w:tr>
      <w:tr w:rsidR="0020217B" w:rsidTr="00481195">
        <w:tc>
          <w:tcPr>
            <w:tcW w:w="769" w:type="dxa"/>
          </w:tcPr>
          <w:p w:rsidR="0020217B" w:rsidRDefault="00D37C0B" w:rsidP="0020217B">
            <w:pPr>
              <w:pStyle w:val="Prrafodelista"/>
              <w:ind w:left="0"/>
              <w:jc w:val="center"/>
              <w:rPr>
                <w:rFonts w:ascii="Bookman Old Style" w:eastAsia="Calibri" w:hAnsi="Bookman Old Style"/>
                <w:b/>
              </w:rPr>
            </w:pPr>
            <w:r>
              <w:rPr>
                <w:rFonts w:ascii="Bookman Old Style" w:eastAsia="Calibri" w:hAnsi="Bookman Old Style"/>
                <w:b/>
              </w:rPr>
              <w:t>1°</w:t>
            </w:r>
          </w:p>
        </w:tc>
        <w:tc>
          <w:tcPr>
            <w:tcW w:w="1701" w:type="dxa"/>
          </w:tcPr>
          <w:p w:rsidR="0020217B" w:rsidRDefault="00D37C0B" w:rsidP="006012B7">
            <w:pPr>
              <w:pStyle w:val="Prrafodelista"/>
              <w:ind w:left="0"/>
              <w:rPr>
                <w:rFonts w:ascii="Bookman Old Style" w:eastAsia="Calibri" w:hAnsi="Bookman Old Style"/>
                <w:b/>
              </w:rPr>
            </w:pPr>
            <w:r>
              <w:rPr>
                <w:rFonts w:ascii="Bookman Old Style" w:eastAsia="Calibri" w:hAnsi="Bookman Old Style"/>
                <w:b/>
              </w:rPr>
              <w:t>H.R. Ana Paola García</w:t>
            </w:r>
          </w:p>
        </w:tc>
        <w:tc>
          <w:tcPr>
            <w:tcW w:w="3544" w:type="dxa"/>
          </w:tcPr>
          <w:p w:rsidR="0020217B" w:rsidRPr="00D37C0B" w:rsidRDefault="00D37C0B" w:rsidP="006012B7">
            <w:pPr>
              <w:pStyle w:val="Prrafodelista"/>
              <w:ind w:left="0"/>
              <w:rPr>
                <w:rFonts w:ascii="Bookman Old Style" w:eastAsia="Calibri" w:hAnsi="Bookman Old Style"/>
              </w:rPr>
            </w:pPr>
            <w:r>
              <w:rPr>
                <w:rFonts w:ascii="Bookman Old Style" w:eastAsia="Calibri" w:hAnsi="Bookman Old Style"/>
              </w:rPr>
              <w:t xml:space="preserve">Eliminar la expresión “Así mismo” por considerarla redundante. </w:t>
            </w:r>
          </w:p>
        </w:tc>
        <w:tc>
          <w:tcPr>
            <w:tcW w:w="2454" w:type="dxa"/>
          </w:tcPr>
          <w:p w:rsidR="00D37C0B" w:rsidRDefault="00D37C0B" w:rsidP="00D37C0B">
            <w:pPr>
              <w:pStyle w:val="Prrafodelista"/>
              <w:ind w:left="0"/>
              <w:rPr>
                <w:rFonts w:ascii="Bookman Old Style" w:eastAsia="Calibri" w:hAnsi="Bookman Old Style"/>
                <w:b/>
              </w:rPr>
            </w:pPr>
            <w:r>
              <w:rPr>
                <w:rFonts w:ascii="Bookman Old Style" w:eastAsia="Calibri" w:hAnsi="Bookman Old Style"/>
                <w:b/>
              </w:rPr>
              <w:t>Quedó como constancia.</w:t>
            </w:r>
          </w:p>
          <w:p w:rsidR="00D37C0B" w:rsidRDefault="00D37C0B" w:rsidP="00D37C0B">
            <w:pPr>
              <w:pStyle w:val="Prrafodelista"/>
              <w:ind w:left="0"/>
              <w:rPr>
                <w:rFonts w:ascii="Bookman Old Style" w:eastAsia="Calibri" w:hAnsi="Bookman Old Style"/>
                <w:b/>
              </w:rPr>
            </w:pPr>
            <w:r w:rsidRPr="00D37C0B">
              <w:rPr>
                <w:rFonts w:ascii="Bookman Old Style" w:eastAsia="Calibri" w:hAnsi="Bookman Old Style"/>
              </w:rPr>
              <w:t>Se acordó con la autora hacer el ajuste en la ponencia de segundo debate.</w:t>
            </w:r>
          </w:p>
          <w:p w:rsidR="0020217B" w:rsidRDefault="0020217B" w:rsidP="006012B7">
            <w:pPr>
              <w:pStyle w:val="Prrafodelista"/>
              <w:ind w:left="0"/>
              <w:rPr>
                <w:rFonts w:ascii="Bookman Old Style" w:eastAsia="Calibri" w:hAnsi="Bookman Old Style"/>
                <w:b/>
              </w:rPr>
            </w:pPr>
          </w:p>
        </w:tc>
      </w:tr>
      <w:tr w:rsidR="0020217B" w:rsidTr="00481195">
        <w:tc>
          <w:tcPr>
            <w:tcW w:w="769" w:type="dxa"/>
          </w:tcPr>
          <w:p w:rsidR="0020217B" w:rsidRDefault="009F5C65" w:rsidP="0020217B">
            <w:pPr>
              <w:pStyle w:val="Prrafodelista"/>
              <w:ind w:left="0"/>
              <w:jc w:val="center"/>
              <w:rPr>
                <w:rFonts w:ascii="Bookman Old Style" w:eastAsia="Calibri" w:hAnsi="Bookman Old Style"/>
                <w:b/>
              </w:rPr>
            </w:pPr>
            <w:r>
              <w:rPr>
                <w:rFonts w:ascii="Bookman Old Style" w:eastAsia="Calibri" w:hAnsi="Bookman Old Style"/>
                <w:b/>
              </w:rPr>
              <w:lastRenderedPageBreak/>
              <w:t>2</w:t>
            </w:r>
            <w:r w:rsidR="00D37C0B">
              <w:rPr>
                <w:rFonts w:ascii="Bookman Old Style" w:eastAsia="Calibri" w:hAnsi="Bookman Old Style"/>
                <w:b/>
              </w:rPr>
              <w:t>°</w:t>
            </w:r>
          </w:p>
        </w:tc>
        <w:tc>
          <w:tcPr>
            <w:tcW w:w="1701" w:type="dxa"/>
          </w:tcPr>
          <w:p w:rsidR="0020217B" w:rsidRDefault="00D37C0B" w:rsidP="006012B7">
            <w:pPr>
              <w:pStyle w:val="Prrafodelista"/>
              <w:ind w:left="0"/>
              <w:rPr>
                <w:rFonts w:ascii="Bookman Old Style" w:eastAsia="Calibri" w:hAnsi="Bookman Old Style"/>
                <w:b/>
              </w:rPr>
            </w:pPr>
            <w:r>
              <w:rPr>
                <w:rFonts w:ascii="Bookman Old Style" w:eastAsia="Calibri" w:hAnsi="Bookman Old Style"/>
                <w:b/>
              </w:rPr>
              <w:t>H.R. Ana Paola García</w:t>
            </w:r>
          </w:p>
        </w:tc>
        <w:tc>
          <w:tcPr>
            <w:tcW w:w="3544" w:type="dxa"/>
          </w:tcPr>
          <w:p w:rsidR="0020217B" w:rsidRPr="00D37C0B" w:rsidRDefault="009F5C65" w:rsidP="009F5C65">
            <w:pPr>
              <w:pStyle w:val="Prrafodelista"/>
              <w:ind w:left="0"/>
              <w:rPr>
                <w:rFonts w:ascii="Bookman Old Style" w:eastAsia="Calibri" w:hAnsi="Bookman Old Style"/>
              </w:rPr>
            </w:pPr>
            <w:r>
              <w:rPr>
                <w:rFonts w:ascii="Bookman Old Style" w:eastAsia="Calibri" w:hAnsi="Bookman Old Style"/>
              </w:rPr>
              <w:t>Cambia la expresión “la interculturalidad” por la de “el respecto a las particularidades socioculturales y cosmovisión”</w:t>
            </w:r>
          </w:p>
        </w:tc>
        <w:tc>
          <w:tcPr>
            <w:tcW w:w="2454" w:type="dxa"/>
          </w:tcPr>
          <w:p w:rsidR="00D37C0B" w:rsidRDefault="00D37C0B" w:rsidP="00D37C0B">
            <w:pPr>
              <w:pStyle w:val="Prrafodelista"/>
              <w:ind w:left="0"/>
              <w:rPr>
                <w:rFonts w:ascii="Bookman Old Style" w:eastAsia="Calibri" w:hAnsi="Bookman Old Style"/>
                <w:b/>
              </w:rPr>
            </w:pPr>
            <w:r>
              <w:rPr>
                <w:rFonts w:ascii="Bookman Old Style" w:eastAsia="Calibri" w:hAnsi="Bookman Old Style"/>
                <w:b/>
              </w:rPr>
              <w:t>Quedó como constancia.</w:t>
            </w:r>
          </w:p>
          <w:p w:rsidR="009F5C65" w:rsidRDefault="009F5C65" w:rsidP="00D37C0B">
            <w:pPr>
              <w:pStyle w:val="Prrafodelista"/>
              <w:ind w:left="0"/>
              <w:rPr>
                <w:rFonts w:ascii="Bookman Old Style" w:eastAsia="Calibri" w:hAnsi="Bookman Old Style"/>
                <w:b/>
              </w:rPr>
            </w:pPr>
            <w:r w:rsidRPr="00D37C0B">
              <w:rPr>
                <w:rFonts w:ascii="Bookman Old Style" w:eastAsia="Calibri" w:hAnsi="Bookman Old Style"/>
              </w:rPr>
              <w:t>Se acordó con la autora evaluar la posibilidad de hacer el cambio en la ponencia para segundo debate.</w:t>
            </w:r>
          </w:p>
          <w:p w:rsidR="0020217B" w:rsidRDefault="0020217B" w:rsidP="006012B7">
            <w:pPr>
              <w:pStyle w:val="Prrafodelista"/>
              <w:ind w:left="0"/>
              <w:rPr>
                <w:rFonts w:ascii="Bookman Old Style" w:eastAsia="Calibri" w:hAnsi="Bookman Old Style"/>
                <w:b/>
              </w:rPr>
            </w:pPr>
          </w:p>
        </w:tc>
      </w:tr>
      <w:tr w:rsidR="0020217B" w:rsidTr="00481195">
        <w:tc>
          <w:tcPr>
            <w:tcW w:w="769" w:type="dxa"/>
          </w:tcPr>
          <w:p w:rsidR="0020217B" w:rsidRDefault="00F01B3A" w:rsidP="0020217B">
            <w:pPr>
              <w:pStyle w:val="Prrafodelista"/>
              <w:ind w:left="0"/>
              <w:jc w:val="center"/>
              <w:rPr>
                <w:rFonts w:ascii="Bookman Old Style" w:eastAsia="Calibri" w:hAnsi="Bookman Old Style"/>
                <w:b/>
              </w:rPr>
            </w:pPr>
            <w:r>
              <w:rPr>
                <w:rFonts w:ascii="Bookman Old Style" w:eastAsia="Calibri" w:hAnsi="Bookman Old Style"/>
                <w:b/>
              </w:rPr>
              <w:t>1°</w:t>
            </w:r>
          </w:p>
        </w:tc>
        <w:tc>
          <w:tcPr>
            <w:tcW w:w="1701" w:type="dxa"/>
          </w:tcPr>
          <w:p w:rsidR="0020217B" w:rsidRDefault="00F01B3A" w:rsidP="006012B7">
            <w:pPr>
              <w:pStyle w:val="Prrafodelista"/>
              <w:ind w:left="0"/>
              <w:rPr>
                <w:rFonts w:ascii="Bookman Old Style" w:eastAsia="Calibri" w:hAnsi="Bookman Old Style"/>
                <w:b/>
              </w:rPr>
            </w:pPr>
            <w:r>
              <w:rPr>
                <w:rFonts w:ascii="Bookman Old Style" w:eastAsia="Calibri" w:hAnsi="Bookman Old Style"/>
                <w:b/>
              </w:rPr>
              <w:t>H.R. Jorge Tamayo</w:t>
            </w:r>
          </w:p>
        </w:tc>
        <w:tc>
          <w:tcPr>
            <w:tcW w:w="3544" w:type="dxa"/>
          </w:tcPr>
          <w:p w:rsidR="0020217B" w:rsidRPr="00D37C0B" w:rsidRDefault="00F01B3A" w:rsidP="006012B7">
            <w:pPr>
              <w:pStyle w:val="Prrafodelista"/>
              <w:ind w:left="0"/>
              <w:rPr>
                <w:rFonts w:ascii="Bookman Old Style" w:eastAsia="Calibri" w:hAnsi="Bookman Old Style"/>
              </w:rPr>
            </w:pPr>
            <w:r>
              <w:rPr>
                <w:rFonts w:ascii="Bookman Old Style" w:eastAsia="Calibri" w:hAnsi="Bookman Old Style"/>
              </w:rPr>
              <w:t xml:space="preserve">Cambiar la palabra “escolares” por “educativos” y eliminar la expresión “con una relación problemática con sustancias psicoactivas”. </w:t>
            </w:r>
          </w:p>
        </w:tc>
        <w:tc>
          <w:tcPr>
            <w:tcW w:w="2454" w:type="dxa"/>
          </w:tcPr>
          <w:p w:rsidR="00D37C0B" w:rsidRDefault="00D37C0B" w:rsidP="00D37C0B">
            <w:pPr>
              <w:pStyle w:val="Prrafodelista"/>
              <w:ind w:left="0"/>
              <w:rPr>
                <w:rFonts w:ascii="Bookman Old Style" w:eastAsia="Calibri" w:hAnsi="Bookman Old Style"/>
                <w:b/>
              </w:rPr>
            </w:pPr>
            <w:r>
              <w:rPr>
                <w:rFonts w:ascii="Bookman Old Style" w:eastAsia="Calibri" w:hAnsi="Bookman Old Style"/>
                <w:b/>
              </w:rPr>
              <w:t>Quedó como constancia.</w:t>
            </w:r>
          </w:p>
          <w:p w:rsidR="00F01B3A" w:rsidRDefault="00F01B3A" w:rsidP="00D37C0B">
            <w:pPr>
              <w:pStyle w:val="Prrafodelista"/>
              <w:ind w:left="0"/>
              <w:rPr>
                <w:rFonts w:ascii="Bookman Old Style" w:eastAsia="Calibri" w:hAnsi="Bookman Old Style"/>
                <w:b/>
              </w:rPr>
            </w:pPr>
            <w:r w:rsidRPr="00D37C0B">
              <w:rPr>
                <w:rFonts w:ascii="Bookman Old Style" w:eastAsia="Calibri" w:hAnsi="Bookman Old Style"/>
              </w:rPr>
              <w:t>Se acord</w:t>
            </w:r>
            <w:r>
              <w:rPr>
                <w:rFonts w:ascii="Bookman Old Style" w:eastAsia="Calibri" w:hAnsi="Bookman Old Style"/>
              </w:rPr>
              <w:t xml:space="preserve">ó con el autor </w:t>
            </w:r>
            <w:r w:rsidRPr="00D37C0B">
              <w:rPr>
                <w:rFonts w:ascii="Bookman Old Style" w:eastAsia="Calibri" w:hAnsi="Bookman Old Style"/>
              </w:rPr>
              <w:t>evaluar la posibilidad de hacer el cambio en la ponencia para segundo debate.</w:t>
            </w:r>
          </w:p>
          <w:p w:rsidR="0020217B" w:rsidRDefault="0020217B" w:rsidP="006012B7">
            <w:pPr>
              <w:pStyle w:val="Prrafodelista"/>
              <w:ind w:left="0"/>
              <w:rPr>
                <w:rFonts w:ascii="Bookman Old Style" w:eastAsia="Calibri" w:hAnsi="Bookman Old Style"/>
                <w:b/>
              </w:rPr>
            </w:pPr>
          </w:p>
        </w:tc>
      </w:tr>
      <w:tr w:rsidR="0020217B" w:rsidTr="00481195">
        <w:tc>
          <w:tcPr>
            <w:tcW w:w="769" w:type="dxa"/>
          </w:tcPr>
          <w:p w:rsidR="0020217B" w:rsidRDefault="00F01B3A" w:rsidP="0020217B">
            <w:pPr>
              <w:pStyle w:val="Prrafodelista"/>
              <w:ind w:left="0"/>
              <w:jc w:val="center"/>
              <w:rPr>
                <w:rFonts w:ascii="Bookman Old Style" w:eastAsia="Calibri" w:hAnsi="Bookman Old Style"/>
                <w:b/>
              </w:rPr>
            </w:pPr>
            <w:r>
              <w:rPr>
                <w:rFonts w:ascii="Bookman Old Style" w:eastAsia="Calibri" w:hAnsi="Bookman Old Style"/>
                <w:b/>
              </w:rPr>
              <w:t>1°</w:t>
            </w:r>
          </w:p>
        </w:tc>
        <w:tc>
          <w:tcPr>
            <w:tcW w:w="1701" w:type="dxa"/>
          </w:tcPr>
          <w:p w:rsidR="0020217B" w:rsidRDefault="00F01B3A" w:rsidP="00F01B3A">
            <w:pPr>
              <w:pStyle w:val="Prrafodelista"/>
              <w:ind w:left="0"/>
              <w:rPr>
                <w:rFonts w:ascii="Bookman Old Style" w:eastAsia="Calibri" w:hAnsi="Bookman Old Style"/>
                <w:b/>
              </w:rPr>
            </w:pPr>
            <w:r>
              <w:rPr>
                <w:rFonts w:ascii="Bookman Old Style" w:eastAsia="Calibri" w:hAnsi="Bookman Old Style"/>
                <w:b/>
              </w:rPr>
              <w:t>H.R. Oscar Sánchez</w:t>
            </w:r>
          </w:p>
        </w:tc>
        <w:tc>
          <w:tcPr>
            <w:tcW w:w="3544" w:type="dxa"/>
          </w:tcPr>
          <w:p w:rsidR="0020217B" w:rsidRPr="00D37C0B" w:rsidRDefault="00F01B3A" w:rsidP="006012B7">
            <w:pPr>
              <w:pStyle w:val="Prrafodelista"/>
              <w:ind w:left="0"/>
              <w:rPr>
                <w:rFonts w:ascii="Bookman Old Style" w:eastAsia="Calibri" w:hAnsi="Bookman Old Style"/>
              </w:rPr>
            </w:pPr>
            <w:r>
              <w:rPr>
                <w:rFonts w:ascii="Bookman Old Style" w:eastAsia="Calibri" w:hAnsi="Bookman Old Style"/>
              </w:rPr>
              <w:t xml:space="preserve">Incluir zonas comunes en los espacios donde la ley restringirá el consumo de cannabis. </w:t>
            </w:r>
          </w:p>
        </w:tc>
        <w:tc>
          <w:tcPr>
            <w:tcW w:w="2454" w:type="dxa"/>
          </w:tcPr>
          <w:p w:rsidR="00D37C0B" w:rsidRDefault="00D37C0B" w:rsidP="00D37C0B">
            <w:pPr>
              <w:pStyle w:val="Prrafodelista"/>
              <w:ind w:left="0"/>
              <w:rPr>
                <w:rFonts w:ascii="Bookman Old Style" w:eastAsia="Calibri" w:hAnsi="Bookman Old Style"/>
                <w:b/>
              </w:rPr>
            </w:pPr>
            <w:r>
              <w:rPr>
                <w:rFonts w:ascii="Bookman Old Style" w:eastAsia="Calibri" w:hAnsi="Bookman Old Style"/>
                <w:b/>
              </w:rPr>
              <w:t>Quedó como constancia.</w:t>
            </w:r>
          </w:p>
          <w:p w:rsidR="00012012" w:rsidRDefault="00012012" w:rsidP="00D37C0B">
            <w:pPr>
              <w:pStyle w:val="Prrafodelista"/>
              <w:ind w:left="0"/>
              <w:rPr>
                <w:rFonts w:ascii="Bookman Old Style" w:eastAsia="Calibri" w:hAnsi="Bookman Old Style"/>
                <w:b/>
              </w:rPr>
            </w:pPr>
            <w:r w:rsidRPr="00D37C0B">
              <w:rPr>
                <w:rFonts w:ascii="Bookman Old Style" w:eastAsia="Calibri" w:hAnsi="Bookman Old Style"/>
              </w:rPr>
              <w:t>Se acord</w:t>
            </w:r>
            <w:r>
              <w:rPr>
                <w:rFonts w:ascii="Bookman Old Style" w:eastAsia="Calibri" w:hAnsi="Bookman Old Style"/>
              </w:rPr>
              <w:t xml:space="preserve">ó con el autor </w:t>
            </w:r>
            <w:r w:rsidRPr="00D37C0B">
              <w:rPr>
                <w:rFonts w:ascii="Bookman Old Style" w:eastAsia="Calibri" w:hAnsi="Bookman Old Style"/>
              </w:rPr>
              <w:t>evaluar la posibilidad de hacer el cambio en la ponencia para segundo debate.</w:t>
            </w:r>
          </w:p>
          <w:p w:rsidR="0020217B" w:rsidRDefault="0020217B" w:rsidP="006012B7">
            <w:pPr>
              <w:pStyle w:val="Prrafodelista"/>
              <w:ind w:left="0"/>
              <w:rPr>
                <w:rFonts w:ascii="Bookman Old Style" w:eastAsia="Calibri" w:hAnsi="Bookman Old Style"/>
                <w:b/>
              </w:rPr>
            </w:pPr>
          </w:p>
        </w:tc>
      </w:tr>
      <w:tr w:rsidR="0020217B" w:rsidTr="00481195">
        <w:tc>
          <w:tcPr>
            <w:tcW w:w="769" w:type="dxa"/>
          </w:tcPr>
          <w:p w:rsidR="0020217B" w:rsidRDefault="00F01B3A" w:rsidP="0020217B">
            <w:pPr>
              <w:pStyle w:val="Prrafodelista"/>
              <w:ind w:left="0"/>
              <w:jc w:val="center"/>
              <w:rPr>
                <w:rFonts w:ascii="Bookman Old Style" w:eastAsia="Calibri" w:hAnsi="Bookman Old Style"/>
                <w:b/>
              </w:rPr>
            </w:pPr>
            <w:r>
              <w:rPr>
                <w:rFonts w:ascii="Bookman Old Style" w:eastAsia="Calibri" w:hAnsi="Bookman Old Style"/>
                <w:b/>
              </w:rPr>
              <w:t>1°</w:t>
            </w:r>
          </w:p>
        </w:tc>
        <w:tc>
          <w:tcPr>
            <w:tcW w:w="1701" w:type="dxa"/>
          </w:tcPr>
          <w:p w:rsidR="0020217B" w:rsidRDefault="00F01B3A" w:rsidP="006012B7">
            <w:pPr>
              <w:pStyle w:val="Prrafodelista"/>
              <w:ind w:left="0"/>
              <w:rPr>
                <w:rFonts w:ascii="Bookman Old Style" w:eastAsia="Calibri" w:hAnsi="Bookman Old Style"/>
                <w:b/>
              </w:rPr>
            </w:pPr>
            <w:r>
              <w:rPr>
                <w:rFonts w:ascii="Bookman Old Style" w:eastAsia="Calibri" w:hAnsi="Bookman Old Style"/>
                <w:b/>
              </w:rPr>
              <w:t>H.R. Álvaro Rueda</w:t>
            </w:r>
          </w:p>
        </w:tc>
        <w:tc>
          <w:tcPr>
            <w:tcW w:w="3544" w:type="dxa"/>
          </w:tcPr>
          <w:p w:rsidR="0020217B" w:rsidRPr="00D37C0B" w:rsidRDefault="00012012" w:rsidP="006012B7">
            <w:pPr>
              <w:pStyle w:val="Prrafodelista"/>
              <w:ind w:left="0"/>
              <w:rPr>
                <w:rFonts w:ascii="Bookman Old Style" w:eastAsia="Calibri" w:hAnsi="Bookman Old Style"/>
              </w:rPr>
            </w:pPr>
            <w:r>
              <w:rPr>
                <w:rFonts w:ascii="Bookman Old Style" w:eastAsia="Calibri" w:hAnsi="Bookman Old Style"/>
              </w:rPr>
              <w:t xml:space="preserve">Facultades para que los alcaldes puedan restringir el porte y consumo de cannabis. </w:t>
            </w:r>
          </w:p>
        </w:tc>
        <w:tc>
          <w:tcPr>
            <w:tcW w:w="2454" w:type="dxa"/>
          </w:tcPr>
          <w:p w:rsidR="00D37C0B" w:rsidRDefault="00D37C0B" w:rsidP="00D37C0B">
            <w:pPr>
              <w:pStyle w:val="Prrafodelista"/>
              <w:ind w:left="0"/>
              <w:rPr>
                <w:rFonts w:ascii="Bookman Old Style" w:eastAsia="Calibri" w:hAnsi="Bookman Old Style"/>
                <w:b/>
              </w:rPr>
            </w:pPr>
            <w:r>
              <w:rPr>
                <w:rFonts w:ascii="Bookman Old Style" w:eastAsia="Calibri" w:hAnsi="Bookman Old Style"/>
                <w:b/>
              </w:rPr>
              <w:t>Quedó como constancia.</w:t>
            </w:r>
          </w:p>
          <w:p w:rsidR="00012012" w:rsidRDefault="00012012" w:rsidP="00D37C0B">
            <w:pPr>
              <w:pStyle w:val="Prrafodelista"/>
              <w:ind w:left="0"/>
              <w:rPr>
                <w:rFonts w:ascii="Bookman Old Style" w:eastAsia="Calibri" w:hAnsi="Bookman Old Style"/>
                <w:b/>
              </w:rPr>
            </w:pPr>
          </w:p>
          <w:p w:rsidR="00012012" w:rsidRPr="00012012" w:rsidRDefault="00012012" w:rsidP="00012012">
            <w:pPr>
              <w:pStyle w:val="Prrafodelista"/>
              <w:ind w:left="0"/>
              <w:rPr>
                <w:rFonts w:ascii="Bookman Old Style" w:eastAsia="Calibri" w:hAnsi="Bookman Old Style"/>
              </w:rPr>
            </w:pPr>
            <w:r w:rsidRPr="00012012">
              <w:rPr>
                <w:rFonts w:ascii="Bookman Old Style" w:eastAsia="Calibri" w:hAnsi="Bookman Old Style"/>
              </w:rPr>
              <w:t xml:space="preserve">No se estimó conveniente desde una perspectiva garantista de derechos. </w:t>
            </w:r>
          </w:p>
          <w:p w:rsidR="0020217B" w:rsidRDefault="0020217B" w:rsidP="006012B7">
            <w:pPr>
              <w:pStyle w:val="Prrafodelista"/>
              <w:ind w:left="0"/>
              <w:rPr>
                <w:rFonts w:ascii="Bookman Old Style" w:eastAsia="Calibri" w:hAnsi="Bookman Old Style"/>
                <w:b/>
              </w:rPr>
            </w:pPr>
          </w:p>
        </w:tc>
      </w:tr>
    </w:tbl>
    <w:p w:rsidR="006012B7" w:rsidRDefault="006012B7" w:rsidP="006012B7">
      <w:pPr>
        <w:pStyle w:val="Prrafodelista"/>
        <w:ind w:left="360"/>
        <w:rPr>
          <w:rFonts w:ascii="Bookman Old Style" w:eastAsia="Calibri" w:hAnsi="Bookman Old Style"/>
          <w:b/>
        </w:rPr>
      </w:pPr>
    </w:p>
    <w:p w:rsidR="006012B7" w:rsidRDefault="006012B7" w:rsidP="006012B7">
      <w:pPr>
        <w:pStyle w:val="Prrafodelista"/>
        <w:numPr>
          <w:ilvl w:val="0"/>
          <w:numId w:val="35"/>
        </w:numPr>
        <w:jc w:val="center"/>
        <w:rPr>
          <w:rFonts w:ascii="Bookman Old Style" w:eastAsia="Calibri" w:hAnsi="Bookman Old Style"/>
          <w:b/>
        </w:rPr>
      </w:pPr>
      <w:r>
        <w:rPr>
          <w:rFonts w:ascii="Bookman Old Style" w:eastAsia="Calibri" w:hAnsi="Bookman Old Style"/>
          <w:b/>
        </w:rPr>
        <w:t>PLIEGO DE MODIFICACIONES.</w:t>
      </w:r>
    </w:p>
    <w:p w:rsidR="006012B7" w:rsidRDefault="006012B7" w:rsidP="006012B7">
      <w:pPr>
        <w:pStyle w:val="Prrafodelista"/>
        <w:ind w:left="360"/>
        <w:rPr>
          <w:rFonts w:ascii="Bookman Old Style" w:eastAsia="Calibri" w:hAnsi="Bookman Old Style"/>
          <w:b/>
        </w:rPr>
      </w:pPr>
    </w:p>
    <w:tbl>
      <w:tblPr>
        <w:tblStyle w:val="Tablaconcuadrcula"/>
        <w:tblW w:w="10632" w:type="dxa"/>
        <w:tblInd w:w="-714" w:type="dxa"/>
        <w:tblLook w:val="04A0" w:firstRow="1" w:lastRow="0" w:firstColumn="1" w:lastColumn="0" w:noHBand="0" w:noVBand="1"/>
      </w:tblPr>
      <w:tblGrid>
        <w:gridCol w:w="3898"/>
        <w:gridCol w:w="3899"/>
        <w:gridCol w:w="2835"/>
      </w:tblGrid>
      <w:tr w:rsidR="00BA4030" w:rsidTr="006E318D">
        <w:trPr>
          <w:trHeight w:val="511"/>
        </w:trPr>
        <w:tc>
          <w:tcPr>
            <w:tcW w:w="3898" w:type="dxa"/>
          </w:tcPr>
          <w:p w:rsidR="00BA4030" w:rsidRDefault="006012B7" w:rsidP="006012B7">
            <w:pPr>
              <w:jc w:val="center"/>
              <w:rPr>
                <w:rFonts w:ascii="Bookman Old Style" w:eastAsia="Calibri" w:hAnsi="Bookman Old Style"/>
                <w:b/>
              </w:rPr>
            </w:pPr>
            <w:r w:rsidRPr="006012B7">
              <w:rPr>
                <w:rFonts w:ascii="Bookman Old Style" w:eastAsia="Calibri" w:hAnsi="Bookman Old Style"/>
                <w:b/>
              </w:rPr>
              <w:t>TEXTO APROBADO EN LA COMISIÓN PRIM</w:t>
            </w:r>
            <w:r>
              <w:rPr>
                <w:rFonts w:ascii="Bookman Old Style" w:eastAsia="Calibri" w:hAnsi="Bookman Old Style"/>
                <w:b/>
              </w:rPr>
              <w:t xml:space="preserve">ERA DE LA </w:t>
            </w:r>
            <w:r w:rsidRPr="006012B7">
              <w:rPr>
                <w:rFonts w:ascii="Bookman Old Style" w:eastAsia="Calibri" w:hAnsi="Bookman Old Style"/>
                <w:b/>
              </w:rPr>
              <w:t xml:space="preserve">CÁMARA DE </w:t>
            </w:r>
            <w:r>
              <w:rPr>
                <w:rFonts w:ascii="Bookman Old Style" w:eastAsia="Calibri" w:hAnsi="Bookman Old Style"/>
                <w:b/>
              </w:rPr>
              <w:lastRenderedPageBreak/>
              <w:t>REPRESENTANTES EN PRIMER DEBATE -</w:t>
            </w:r>
            <w:r w:rsidRPr="006012B7">
              <w:rPr>
                <w:rFonts w:ascii="Bookman Old Style" w:eastAsia="Calibri" w:hAnsi="Bookman Old Style"/>
                <w:b/>
              </w:rPr>
              <w:t xml:space="preserve"> SEGUNDA VUELTA</w:t>
            </w:r>
          </w:p>
        </w:tc>
        <w:tc>
          <w:tcPr>
            <w:tcW w:w="3899" w:type="dxa"/>
          </w:tcPr>
          <w:p w:rsidR="00BA4030" w:rsidRDefault="00BA4030" w:rsidP="006012B7">
            <w:pPr>
              <w:jc w:val="center"/>
              <w:rPr>
                <w:rFonts w:ascii="Bookman Old Style" w:eastAsia="Calibri" w:hAnsi="Bookman Old Style"/>
                <w:b/>
              </w:rPr>
            </w:pPr>
            <w:r>
              <w:rPr>
                <w:rFonts w:ascii="Bookman Old Style" w:eastAsia="Calibri" w:hAnsi="Bookman Old Style"/>
                <w:b/>
              </w:rPr>
              <w:lastRenderedPageBreak/>
              <w:t xml:space="preserve">TEXTO PROPUESTO PARA </w:t>
            </w:r>
            <w:r w:rsidR="006012B7">
              <w:rPr>
                <w:rFonts w:ascii="Bookman Old Style" w:eastAsia="Calibri" w:hAnsi="Bookman Old Style"/>
                <w:b/>
              </w:rPr>
              <w:t>SEGUNDO</w:t>
            </w:r>
            <w:r>
              <w:rPr>
                <w:rFonts w:ascii="Bookman Old Style" w:eastAsia="Calibri" w:hAnsi="Bookman Old Style"/>
                <w:b/>
              </w:rPr>
              <w:t xml:space="preserve"> DEBATE DE SEGUNDA VUELTA EN CÁMARA</w:t>
            </w:r>
            <w:r w:rsidR="006012B7">
              <w:rPr>
                <w:rFonts w:ascii="Bookman Old Style" w:eastAsia="Calibri" w:hAnsi="Bookman Old Style"/>
                <w:b/>
              </w:rPr>
              <w:t xml:space="preserve"> </w:t>
            </w:r>
            <w:r w:rsidR="006012B7">
              <w:rPr>
                <w:rFonts w:ascii="Bookman Old Style" w:eastAsia="Calibri" w:hAnsi="Bookman Old Style"/>
                <w:b/>
              </w:rPr>
              <w:lastRenderedPageBreak/>
              <w:t>DE REPRESENTANTES</w:t>
            </w:r>
          </w:p>
        </w:tc>
        <w:tc>
          <w:tcPr>
            <w:tcW w:w="2835" w:type="dxa"/>
          </w:tcPr>
          <w:p w:rsidR="00BA4030" w:rsidRDefault="00BA4030" w:rsidP="00806AC2">
            <w:pPr>
              <w:jc w:val="center"/>
              <w:rPr>
                <w:rFonts w:ascii="Bookman Old Style" w:eastAsia="Calibri" w:hAnsi="Bookman Old Style"/>
                <w:b/>
              </w:rPr>
            </w:pPr>
            <w:r>
              <w:rPr>
                <w:rFonts w:ascii="Bookman Old Style" w:eastAsia="Calibri" w:hAnsi="Bookman Old Style"/>
                <w:b/>
              </w:rPr>
              <w:lastRenderedPageBreak/>
              <w:t>COMENTARIOS</w:t>
            </w:r>
          </w:p>
        </w:tc>
      </w:tr>
      <w:tr w:rsidR="00BA4030" w:rsidTr="006E318D">
        <w:trPr>
          <w:trHeight w:val="1292"/>
        </w:trPr>
        <w:tc>
          <w:tcPr>
            <w:tcW w:w="3898" w:type="dxa"/>
          </w:tcPr>
          <w:p w:rsidR="00BA4030" w:rsidRPr="00485CC5" w:rsidRDefault="00BA4030" w:rsidP="00806AC2">
            <w:pPr>
              <w:jc w:val="center"/>
              <w:rPr>
                <w:rFonts w:ascii="Bookman Old Style" w:hAnsi="Bookman Old Style" w:cstheme="minorHAnsi"/>
                <w:b/>
              </w:rPr>
            </w:pPr>
            <w:r>
              <w:rPr>
                <w:rFonts w:ascii="Bookman Old Style" w:eastAsia="Calibri" w:hAnsi="Bookman Old Style"/>
                <w:b/>
              </w:rPr>
              <w:lastRenderedPageBreak/>
              <w:t>Título</w:t>
            </w:r>
            <w:r w:rsidRPr="00B10C25">
              <w:rPr>
                <w:rFonts w:ascii="Bookman Old Style" w:eastAsia="Calibri" w:hAnsi="Bookman Old Style"/>
                <w:bCs/>
              </w:rPr>
              <w:t xml:space="preserve">: </w:t>
            </w:r>
            <w:r w:rsidRPr="00806AC2">
              <w:rPr>
                <w:rFonts w:ascii="Bookman Old Style" w:hAnsi="Bookman Old Style" w:cstheme="minorHAnsi"/>
              </w:rPr>
              <w:t>“</w:t>
            </w:r>
            <w:r w:rsidRPr="00806AC2">
              <w:rPr>
                <w:rFonts w:ascii="Bookman Old Style" w:hAnsi="Bookman Old Style" w:cstheme="minorHAnsi"/>
                <w:iCs/>
              </w:rPr>
              <w:t xml:space="preserve">Por medio del cual se modifica el artículo 49 de la Constitución Política de Colombia, se regulariza el cannabis de uso adulto </w:t>
            </w:r>
            <w:r>
              <w:rPr>
                <w:rFonts w:ascii="Bookman Old Style" w:hAnsi="Bookman Old Style" w:cstheme="minorHAnsi"/>
                <w:iCs/>
              </w:rPr>
              <w:t>y se dictan otras disposiciones</w:t>
            </w:r>
            <w:r w:rsidRPr="00806AC2">
              <w:rPr>
                <w:rFonts w:ascii="Bookman Old Style" w:hAnsi="Bookman Old Style" w:cstheme="minorHAnsi"/>
              </w:rPr>
              <w:t>”.</w:t>
            </w:r>
          </w:p>
          <w:p w:rsidR="00BA4030" w:rsidRDefault="00BA4030" w:rsidP="007E2A01">
            <w:pPr>
              <w:jc w:val="center"/>
              <w:rPr>
                <w:rFonts w:ascii="Bookman Old Style" w:eastAsia="Calibri" w:hAnsi="Bookman Old Style"/>
                <w:b/>
              </w:rPr>
            </w:pPr>
          </w:p>
        </w:tc>
        <w:tc>
          <w:tcPr>
            <w:tcW w:w="3899" w:type="dxa"/>
          </w:tcPr>
          <w:p w:rsidR="00BA4030" w:rsidRDefault="00A52972" w:rsidP="007E2A01">
            <w:pPr>
              <w:jc w:val="center"/>
              <w:rPr>
                <w:rFonts w:ascii="Bookman Old Style" w:eastAsia="Calibri" w:hAnsi="Bookman Old Style"/>
                <w:b/>
              </w:rPr>
            </w:pPr>
            <w:r>
              <w:rPr>
                <w:rFonts w:ascii="Bookman Old Style" w:eastAsia="Calibri" w:hAnsi="Bookman Old Style"/>
                <w:b/>
              </w:rPr>
              <w:t>Se mantiene</w:t>
            </w:r>
            <w:r w:rsidR="00BA4030">
              <w:rPr>
                <w:rFonts w:ascii="Bookman Old Style" w:eastAsia="Calibri" w:hAnsi="Bookman Old Style"/>
                <w:b/>
              </w:rPr>
              <w:t xml:space="preserve"> igual</w:t>
            </w:r>
          </w:p>
        </w:tc>
        <w:tc>
          <w:tcPr>
            <w:tcW w:w="2835" w:type="dxa"/>
          </w:tcPr>
          <w:p w:rsidR="00BA4030" w:rsidRDefault="00BA4030" w:rsidP="007E2A01">
            <w:pPr>
              <w:jc w:val="center"/>
              <w:rPr>
                <w:rFonts w:ascii="Bookman Old Style" w:eastAsia="Calibri" w:hAnsi="Bookman Old Style"/>
                <w:b/>
              </w:rPr>
            </w:pPr>
          </w:p>
        </w:tc>
      </w:tr>
      <w:tr w:rsidR="00BA4030" w:rsidTr="006E318D">
        <w:trPr>
          <w:trHeight w:val="1112"/>
        </w:trPr>
        <w:tc>
          <w:tcPr>
            <w:tcW w:w="3898" w:type="dxa"/>
          </w:tcPr>
          <w:p w:rsidR="00BA4030" w:rsidRPr="00D91748" w:rsidRDefault="00BA4030" w:rsidP="00806AC2">
            <w:pPr>
              <w:pStyle w:val="centrado"/>
              <w:spacing w:before="0" w:beforeAutospacing="0"/>
              <w:jc w:val="both"/>
              <w:rPr>
                <w:rFonts w:ascii="Bookman Old Style" w:hAnsi="Bookman Old Style" w:cs="Arial"/>
                <w:sz w:val="22"/>
                <w:szCs w:val="22"/>
              </w:rPr>
            </w:pPr>
            <w:r w:rsidRPr="00D91748">
              <w:rPr>
                <w:rFonts w:ascii="Bookman Old Style" w:hAnsi="Bookman Old Style" w:cs="Arial"/>
                <w:b/>
                <w:bCs/>
                <w:sz w:val="22"/>
                <w:szCs w:val="22"/>
              </w:rPr>
              <w:t xml:space="preserve">ARTÍCULO 1º. </w:t>
            </w:r>
            <w:r w:rsidRPr="00D91748">
              <w:rPr>
                <w:rFonts w:ascii="Bookman Old Style" w:hAnsi="Bookman Old Style" w:cs="Arial"/>
                <w:sz w:val="22"/>
                <w:szCs w:val="22"/>
              </w:rPr>
              <w:t>El artículo 49 de la Con</w:t>
            </w:r>
            <w:r>
              <w:rPr>
                <w:rFonts w:ascii="Bookman Old Style" w:hAnsi="Bookman Old Style" w:cs="Arial"/>
                <w:sz w:val="22"/>
                <w:szCs w:val="22"/>
              </w:rPr>
              <w:t>stitución Política quedará así:</w:t>
            </w:r>
          </w:p>
          <w:p w:rsidR="00D3444C" w:rsidRPr="00043C11" w:rsidRDefault="00BA4030" w:rsidP="00D3444C">
            <w:pPr>
              <w:pStyle w:val="centrado"/>
              <w:spacing w:before="0" w:beforeAutospacing="0"/>
              <w:jc w:val="both"/>
              <w:rPr>
                <w:rFonts w:ascii="Bookman Old Style" w:hAnsi="Bookman Old Style" w:cs="Arial"/>
                <w:sz w:val="22"/>
                <w:szCs w:val="22"/>
              </w:rPr>
            </w:pPr>
            <w:r w:rsidRPr="00D91748">
              <w:rPr>
                <w:rFonts w:ascii="Bookman Old Style" w:hAnsi="Bookman Old Style" w:cs="Arial"/>
                <w:b/>
                <w:bCs/>
              </w:rPr>
              <w:t>ARTÍCULO 49o.</w:t>
            </w:r>
            <w:r w:rsidRPr="00D91748">
              <w:rPr>
                <w:rFonts w:ascii="Bookman Old Style" w:hAnsi="Bookman Old Style" w:cs="Arial"/>
              </w:rPr>
              <w:t xml:space="preserve"> </w:t>
            </w:r>
            <w:r w:rsidR="00D3444C" w:rsidRPr="00043C11">
              <w:rPr>
                <w:rFonts w:ascii="Bookman Old Style" w:hAnsi="Bookman Old Style" w:cs="Arial"/>
                <w:sz w:val="22"/>
                <w:szCs w:val="22"/>
              </w:rPr>
              <w:t>La atención de la salud y el saneamiento ambiental son servicios públicos a cargo del Estado. Se garantiza a todas las personas el acceso a los servicios de promoción, protección y recuperación de la salud.</w:t>
            </w:r>
          </w:p>
          <w:p w:rsidR="00D3444C" w:rsidRPr="00043C11" w:rsidRDefault="00D3444C" w:rsidP="00D3444C">
            <w:pPr>
              <w:spacing w:after="100" w:afterAutospacing="1"/>
              <w:jc w:val="both"/>
              <w:rPr>
                <w:rFonts w:ascii="Bookman Old Style" w:hAnsi="Bookman Old Style" w:cs="Arial"/>
              </w:rPr>
            </w:pPr>
            <w:r w:rsidRPr="00043C11">
              <w:rPr>
                <w:rFonts w:ascii="Bookman Old Style" w:hAnsi="Bookman Old Style" w:cs="Arial"/>
              </w:rPr>
              <w:t>Corresponde al Estado organizar, dirigir y reglamentar la prestación de servicios de salud a los habitantes y de saneamiento ambiental conforme a los principios de eficiencia, universalidad y solidaridad. También, establecer las políticas para la prestación de servicios de salud por entidades privadas, y ejercer su vigilancia y control. Así mismo, establecer las competencias de la Nación, las entidades territoriales y los particulares y determinar los aportes a su cargo en los términos y condiciones señalados en la ley.</w:t>
            </w:r>
          </w:p>
          <w:p w:rsidR="00D3444C" w:rsidRPr="00043C11" w:rsidRDefault="00D3444C" w:rsidP="00D3444C">
            <w:pPr>
              <w:spacing w:after="100" w:afterAutospacing="1"/>
              <w:jc w:val="both"/>
              <w:rPr>
                <w:rFonts w:ascii="Bookman Old Style" w:hAnsi="Bookman Old Style" w:cs="Arial"/>
              </w:rPr>
            </w:pPr>
            <w:r w:rsidRPr="00043C11">
              <w:rPr>
                <w:rFonts w:ascii="Bookman Old Style" w:hAnsi="Bookman Old Style" w:cs="Arial"/>
              </w:rPr>
              <w:t>Los servicios de salud se organizarán en forma descentralizada, por niveles de atención y con participación de la comunidad.</w:t>
            </w:r>
          </w:p>
          <w:p w:rsidR="00D3444C" w:rsidRPr="00043C11" w:rsidRDefault="00D3444C" w:rsidP="00D3444C">
            <w:pPr>
              <w:spacing w:after="100" w:afterAutospacing="1"/>
              <w:jc w:val="both"/>
              <w:rPr>
                <w:rFonts w:ascii="Bookman Old Style" w:hAnsi="Bookman Old Style" w:cs="Arial"/>
              </w:rPr>
            </w:pPr>
            <w:r w:rsidRPr="00043C11">
              <w:rPr>
                <w:rFonts w:ascii="Bookman Old Style" w:hAnsi="Bookman Old Style" w:cs="Arial"/>
              </w:rPr>
              <w:t xml:space="preserve">La ley señalará los términos en los cuales la atención básica para todos los habitantes será gratuita </w:t>
            </w:r>
            <w:r w:rsidRPr="00043C11">
              <w:rPr>
                <w:rFonts w:ascii="Bookman Old Style" w:hAnsi="Bookman Old Style" w:cs="Arial"/>
              </w:rPr>
              <w:lastRenderedPageBreak/>
              <w:t>y obligatoria.</w:t>
            </w:r>
          </w:p>
          <w:p w:rsidR="00D3444C" w:rsidRPr="00043C11" w:rsidRDefault="00D3444C" w:rsidP="00D3444C">
            <w:pPr>
              <w:spacing w:after="100" w:afterAutospacing="1"/>
              <w:jc w:val="both"/>
              <w:rPr>
                <w:rFonts w:ascii="Bookman Old Style" w:hAnsi="Bookman Old Style" w:cs="Arial"/>
              </w:rPr>
            </w:pPr>
            <w:r w:rsidRPr="00043C11">
              <w:rPr>
                <w:rFonts w:ascii="Bookman Old Style" w:hAnsi="Bookman Old Style" w:cs="Arial"/>
              </w:rPr>
              <w:t>Toda persona tiene el deber de procurar el cuidado integral de su salud y de su comunidad.</w:t>
            </w:r>
          </w:p>
          <w:p w:rsidR="00D3444C" w:rsidRPr="00043C11" w:rsidRDefault="00D3444C" w:rsidP="00D3444C">
            <w:pPr>
              <w:spacing w:after="100" w:afterAutospacing="1"/>
              <w:jc w:val="both"/>
              <w:rPr>
                <w:rFonts w:ascii="Bookman Old Style" w:hAnsi="Bookman Old Style" w:cs="Arial"/>
              </w:rPr>
            </w:pPr>
            <w:r w:rsidRPr="00043C11">
              <w:rPr>
                <w:rFonts w:ascii="Bookman Old Style" w:hAnsi="Bookman Old Style" w:cs="Arial"/>
              </w:rPr>
              <w:t xml:space="preserve">El porte y el consumo de sustancias psicoactivas no reguladas está prohibido, salvo con fines médicos y científicos. </w:t>
            </w:r>
          </w:p>
          <w:p w:rsidR="00D3444C" w:rsidRPr="00043C11" w:rsidRDefault="00D3444C" w:rsidP="00D3444C">
            <w:pPr>
              <w:spacing w:after="100" w:afterAutospacing="1"/>
              <w:jc w:val="both"/>
              <w:rPr>
                <w:rFonts w:ascii="Bookman Old Style" w:hAnsi="Bookman Old Style" w:cs="Arial"/>
              </w:rPr>
            </w:pPr>
            <w:r w:rsidRPr="00043C11">
              <w:rPr>
                <w:rFonts w:ascii="Bookman Old Style" w:hAnsi="Bookman Old Style" w:cs="Arial"/>
              </w:rPr>
              <w:t xml:space="preserve">La prohibición prevista en el inciso anterior no aplicará para el porte y consumo del cannabis y sus derivados por parte de mayores de edad. Tampoco aplicará </w:t>
            </w:r>
            <w:r w:rsidRPr="00904D67">
              <w:rPr>
                <w:rFonts w:ascii="Bookman Old Style" w:hAnsi="Bookman Old Style" w:cs="Arial"/>
                <w:b/>
                <w:strike/>
              </w:rPr>
              <w:t>para ninguna de estas sustancias para su</w:t>
            </w:r>
            <w:r w:rsidRPr="00043C11">
              <w:rPr>
                <w:rFonts w:ascii="Bookman Old Style" w:hAnsi="Bookman Old Style" w:cs="Arial"/>
              </w:rPr>
              <w:t xml:space="preserve"> producción, distribución, venta y comercialización con fines de uso adulto siempre y cuando se cuente con las licencias otorgadas por la autoridad competente.</w:t>
            </w:r>
          </w:p>
          <w:p w:rsidR="00D3444C" w:rsidRDefault="00D3444C" w:rsidP="00D3444C">
            <w:pPr>
              <w:jc w:val="both"/>
              <w:rPr>
                <w:rFonts w:ascii="Bookman Old Style" w:hAnsi="Bookman Old Style"/>
              </w:rPr>
            </w:pPr>
            <w:r w:rsidRPr="00043C11">
              <w:rPr>
                <w:rFonts w:ascii="Bookman Old Style" w:hAnsi="Bookman Old Style"/>
              </w:rPr>
              <w:t xml:space="preserve">La ley restringirá el consumo y comercialización de cannabis </w:t>
            </w:r>
            <w:r w:rsidRPr="006312B8">
              <w:rPr>
                <w:rFonts w:ascii="Bookman Old Style" w:hAnsi="Bookman Old Style"/>
                <w:b/>
                <w:strike/>
              </w:rPr>
              <w:t>o</w:t>
            </w:r>
            <w:r w:rsidRPr="00043C11">
              <w:rPr>
                <w:rFonts w:ascii="Bookman Old Style" w:hAnsi="Bookman Old Style"/>
              </w:rPr>
              <w:t xml:space="preserve"> sus derivados en entornos escolares y reglamentará el porte y consumo de cannabis y sus derivados en espacios públicos, recreativos, en espacios privados abiertos al público, zonas comunes, en establecimientos carcelarios y de rehabilitación, entre otros. </w:t>
            </w:r>
          </w:p>
          <w:p w:rsidR="00D3444C" w:rsidRPr="00043C11" w:rsidRDefault="00D3444C" w:rsidP="00D3444C">
            <w:pPr>
              <w:ind w:left="708"/>
              <w:jc w:val="both"/>
              <w:rPr>
                <w:rFonts w:ascii="Bookman Old Style" w:hAnsi="Bookman Old Style"/>
              </w:rPr>
            </w:pPr>
          </w:p>
          <w:p w:rsidR="00904D67" w:rsidRDefault="00904D67" w:rsidP="00D3444C">
            <w:pPr>
              <w:spacing w:after="100" w:afterAutospacing="1"/>
              <w:jc w:val="both"/>
              <w:rPr>
                <w:rFonts w:ascii="Bookman Old Style" w:hAnsi="Bookman Old Style" w:cs="Arial"/>
              </w:rPr>
            </w:pPr>
          </w:p>
          <w:p w:rsidR="00904D67" w:rsidRDefault="00904D67" w:rsidP="00D3444C">
            <w:pPr>
              <w:spacing w:after="100" w:afterAutospacing="1"/>
              <w:jc w:val="both"/>
              <w:rPr>
                <w:rFonts w:ascii="Bookman Old Style" w:hAnsi="Bookman Old Style" w:cs="Arial"/>
              </w:rPr>
            </w:pPr>
          </w:p>
          <w:p w:rsidR="00904D67" w:rsidRDefault="00904D67" w:rsidP="00D3444C">
            <w:pPr>
              <w:spacing w:after="100" w:afterAutospacing="1"/>
              <w:jc w:val="both"/>
              <w:rPr>
                <w:rFonts w:ascii="Bookman Old Style" w:hAnsi="Bookman Old Style" w:cs="Arial"/>
              </w:rPr>
            </w:pPr>
          </w:p>
          <w:p w:rsidR="00904D67" w:rsidRDefault="00904D67" w:rsidP="00D3444C">
            <w:pPr>
              <w:spacing w:after="100" w:afterAutospacing="1"/>
              <w:jc w:val="both"/>
              <w:rPr>
                <w:rFonts w:ascii="Bookman Old Style" w:hAnsi="Bookman Old Style" w:cs="Arial"/>
              </w:rPr>
            </w:pPr>
          </w:p>
          <w:p w:rsidR="00904D67" w:rsidRDefault="00904D67" w:rsidP="00D3444C">
            <w:pPr>
              <w:spacing w:after="100" w:afterAutospacing="1"/>
              <w:jc w:val="both"/>
              <w:rPr>
                <w:rFonts w:ascii="Bookman Old Style" w:hAnsi="Bookman Old Style" w:cs="Arial"/>
              </w:rPr>
            </w:pPr>
          </w:p>
          <w:p w:rsidR="00904D67" w:rsidRDefault="00904D67" w:rsidP="00D3444C">
            <w:pPr>
              <w:spacing w:after="100" w:afterAutospacing="1"/>
              <w:jc w:val="both"/>
              <w:rPr>
                <w:rFonts w:ascii="Bookman Old Style" w:hAnsi="Bookman Old Style" w:cs="Arial"/>
              </w:rPr>
            </w:pPr>
          </w:p>
          <w:p w:rsidR="00D3444C" w:rsidRPr="00043C11" w:rsidRDefault="00D3444C" w:rsidP="00D3444C">
            <w:pPr>
              <w:spacing w:after="100" w:afterAutospacing="1"/>
              <w:jc w:val="both"/>
              <w:rPr>
                <w:rFonts w:ascii="Bookman Old Style" w:hAnsi="Bookman Old Style" w:cs="Arial"/>
              </w:rPr>
            </w:pPr>
            <w:r w:rsidRPr="00043C11">
              <w:rPr>
                <w:rFonts w:ascii="Bookman Old Style" w:hAnsi="Bookman Old Style" w:cs="Arial"/>
              </w:rPr>
              <w:lastRenderedPageBreak/>
              <w:t>Con fines preventivos y rehabilitadores la ley establecerá medidas y tratamientos de orden pedagógico, profiláctico o terapéutico para toda la población y en especial a las personas que consuman sustancias psicoactivas. El acceso a esas medidas y tratamientos requiere el consentimiento informado del consumidor.</w:t>
            </w:r>
          </w:p>
          <w:p w:rsidR="00D3444C" w:rsidRDefault="00D3444C" w:rsidP="00D3444C">
            <w:pPr>
              <w:spacing w:after="100" w:afterAutospacing="1"/>
              <w:jc w:val="both"/>
              <w:rPr>
                <w:rFonts w:ascii="Bookman Old Style" w:hAnsi="Bookman Old Style" w:cs="Arial"/>
              </w:rPr>
            </w:pPr>
            <w:r w:rsidRPr="00043C11">
              <w:rPr>
                <w:rFonts w:ascii="Bookman Old Style" w:hAnsi="Bookman Old Style" w:cs="Arial"/>
              </w:rPr>
              <w:t xml:space="preserve">El Estado atenderá con un enfoque de Derechos Humanos y de salud pública a toda la población procurando el cuidado integral de la salud de las personas y, por consiguiente, de la comunidad, y desarrollará en forma permanente medidas y estrategias de prevención del consumo de sustancias psicoactivas y sus efectos nocivos, </w:t>
            </w:r>
            <w:r w:rsidRPr="00904D67">
              <w:rPr>
                <w:rFonts w:ascii="Bookman Old Style" w:hAnsi="Bookman Old Style" w:cs="Arial"/>
                <w:b/>
                <w:strike/>
              </w:rPr>
              <w:t>así como estrategias</w:t>
            </w:r>
            <w:r w:rsidRPr="00043C11">
              <w:rPr>
                <w:rFonts w:ascii="Bookman Old Style" w:hAnsi="Bookman Old Style" w:cs="Arial"/>
              </w:rPr>
              <w:t xml:space="preserve"> de reducción de riesgos y daños en favor de los consumidores. </w:t>
            </w:r>
          </w:p>
          <w:p w:rsidR="00904D67" w:rsidRDefault="00904D67" w:rsidP="00D3444C">
            <w:pPr>
              <w:spacing w:after="100" w:afterAutospacing="1"/>
              <w:jc w:val="both"/>
              <w:rPr>
                <w:rFonts w:ascii="Bookman Old Style" w:hAnsi="Bookman Old Style" w:cs="Arial"/>
              </w:rPr>
            </w:pPr>
          </w:p>
          <w:p w:rsidR="00904D67" w:rsidRDefault="00904D67" w:rsidP="00D3444C">
            <w:pPr>
              <w:spacing w:after="100" w:afterAutospacing="1"/>
              <w:jc w:val="both"/>
              <w:rPr>
                <w:rFonts w:ascii="Bookman Old Style" w:hAnsi="Bookman Old Style" w:cs="Arial"/>
              </w:rPr>
            </w:pPr>
          </w:p>
          <w:p w:rsidR="00904D67" w:rsidRDefault="00904D67" w:rsidP="00D3444C">
            <w:pPr>
              <w:spacing w:after="100" w:afterAutospacing="1"/>
              <w:jc w:val="both"/>
              <w:rPr>
                <w:rFonts w:ascii="Bookman Old Style" w:hAnsi="Bookman Old Style" w:cs="Arial"/>
              </w:rPr>
            </w:pPr>
          </w:p>
          <w:p w:rsidR="00904D67" w:rsidRPr="00043C11" w:rsidRDefault="00904D67" w:rsidP="00D3444C">
            <w:pPr>
              <w:spacing w:after="100" w:afterAutospacing="1"/>
              <w:jc w:val="both"/>
              <w:rPr>
                <w:rFonts w:ascii="Bookman Old Style" w:hAnsi="Bookman Old Style" w:cs="Arial"/>
              </w:rPr>
            </w:pPr>
          </w:p>
          <w:p w:rsidR="00D3444C" w:rsidRPr="00043C11" w:rsidRDefault="00D3444C" w:rsidP="00D3444C">
            <w:pPr>
              <w:spacing w:after="100" w:afterAutospacing="1"/>
              <w:jc w:val="both"/>
              <w:rPr>
                <w:rFonts w:ascii="Bookman Old Style" w:eastAsia="Arial Narrow" w:hAnsi="Bookman Old Style" w:cs="Arial Narrow"/>
              </w:rPr>
            </w:pPr>
            <w:r w:rsidRPr="00904D67">
              <w:rPr>
                <w:rFonts w:ascii="Bookman Old Style" w:hAnsi="Bookman Old Style" w:cs="Arial"/>
                <w:b/>
                <w:strike/>
              </w:rPr>
              <w:t>Así mismo,</w:t>
            </w:r>
            <w:r w:rsidRPr="00043C11">
              <w:rPr>
                <w:rFonts w:ascii="Bookman Old Style" w:hAnsi="Bookman Old Style" w:cs="Arial"/>
              </w:rPr>
              <w:t xml:space="preserve"> </w:t>
            </w:r>
            <w:r w:rsidRPr="00043C11">
              <w:rPr>
                <w:rFonts w:ascii="Bookman Old Style" w:eastAsia="Arial Narrow" w:hAnsi="Bookman Old Style" w:cs="Arial Narrow"/>
              </w:rPr>
              <w:t xml:space="preserve">En ese mismo sentido, se garantizará el tratamiento y rehabilitación de </w:t>
            </w:r>
            <w:r w:rsidRPr="00904D67">
              <w:rPr>
                <w:rFonts w:ascii="Bookman Old Style" w:eastAsia="Arial Narrow" w:hAnsi="Bookman Old Style" w:cs="Arial Narrow"/>
                <w:b/>
                <w:strike/>
              </w:rPr>
              <w:t>las personas con una relación problemática con</w:t>
            </w:r>
            <w:r w:rsidRPr="00043C11">
              <w:rPr>
                <w:rFonts w:ascii="Bookman Old Style" w:eastAsia="Arial Narrow" w:hAnsi="Bookman Old Style" w:cs="Arial Narrow"/>
              </w:rPr>
              <w:t xml:space="preserve"> sustancias psicoactivas y a su familia y/o redes de apoyo. Estas medidas y tratamientos requieren el consentimiento informado del consumidor.</w:t>
            </w:r>
          </w:p>
          <w:p w:rsidR="006E318D" w:rsidRDefault="006E318D" w:rsidP="00D3444C">
            <w:pPr>
              <w:spacing w:after="100" w:afterAutospacing="1"/>
              <w:jc w:val="both"/>
              <w:rPr>
                <w:rFonts w:ascii="Bookman Old Style" w:hAnsi="Bookman Old Style" w:cs="Arial"/>
              </w:rPr>
            </w:pPr>
          </w:p>
          <w:p w:rsidR="00D3444C" w:rsidRDefault="00D3444C" w:rsidP="00D3444C">
            <w:pPr>
              <w:spacing w:after="100" w:afterAutospacing="1"/>
              <w:jc w:val="both"/>
              <w:rPr>
                <w:rFonts w:ascii="Bookman Old Style" w:hAnsi="Bookman Old Style" w:cs="Arial"/>
              </w:rPr>
            </w:pPr>
            <w:r w:rsidRPr="00043C11">
              <w:rPr>
                <w:rFonts w:ascii="Bookman Old Style" w:hAnsi="Bookman Old Style" w:cs="Arial"/>
              </w:rPr>
              <w:lastRenderedPageBreak/>
              <w:t>El Estado incorporará en el Sistema Educativo, en sus diferentes formas, modalidades y niveles, la educación sobre la prevención en el consumo de sustancias psicoactivas y sus efectos nocivos.</w:t>
            </w:r>
          </w:p>
          <w:p w:rsidR="00904D67" w:rsidRDefault="00904D67" w:rsidP="00D3444C">
            <w:pPr>
              <w:spacing w:after="100" w:afterAutospacing="1"/>
              <w:jc w:val="both"/>
              <w:rPr>
                <w:rFonts w:ascii="Bookman Old Style" w:hAnsi="Bookman Old Style" w:cs="Arial"/>
              </w:rPr>
            </w:pPr>
          </w:p>
          <w:p w:rsidR="00BA4030" w:rsidRDefault="00D3444C" w:rsidP="00D3444C">
            <w:pPr>
              <w:jc w:val="both"/>
              <w:rPr>
                <w:rFonts w:ascii="Bookman Old Style" w:hAnsi="Bookman Old Style"/>
              </w:rPr>
            </w:pPr>
            <w:r w:rsidRPr="00043C11">
              <w:rPr>
                <w:rFonts w:ascii="Bookman Old Style" w:hAnsi="Bookman Old Style" w:cs="Arial"/>
              </w:rPr>
              <w:t>Las entidades que conforman el Sistema General de Seguridad Social en Salud y sus prestadores garantizarán la aplicación e incorporación de lo establecido en este artículo de forma obligatoria.</w:t>
            </w:r>
          </w:p>
          <w:p w:rsidR="00BA4030" w:rsidRDefault="00BA4030" w:rsidP="00806AC2">
            <w:pPr>
              <w:jc w:val="both"/>
              <w:rPr>
                <w:rFonts w:ascii="Bookman Old Style" w:hAnsi="Bookman Old Style"/>
              </w:rPr>
            </w:pPr>
          </w:p>
          <w:p w:rsidR="00BA4030" w:rsidRPr="00806AC2" w:rsidRDefault="00BA4030" w:rsidP="007E2A01">
            <w:pPr>
              <w:jc w:val="both"/>
              <w:rPr>
                <w:rFonts w:ascii="Bookman Old Style" w:hAnsi="Bookman Old Style"/>
              </w:rPr>
            </w:pPr>
          </w:p>
        </w:tc>
        <w:tc>
          <w:tcPr>
            <w:tcW w:w="3899" w:type="dxa"/>
          </w:tcPr>
          <w:p w:rsidR="00904D67" w:rsidRPr="00D91748" w:rsidRDefault="00904D67" w:rsidP="00904D67">
            <w:pPr>
              <w:pStyle w:val="centrado"/>
              <w:spacing w:before="0" w:beforeAutospacing="0"/>
              <w:jc w:val="both"/>
              <w:rPr>
                <w:rFonts w:ascii="Bookman Old Style" w:hAnsi="Bookman Old Style" w:cs="Arial"/>
                <w:sz w:val="22"/>
                <w:szCs w:val="22"/>
              </w:rPr>
            </w:pPr>
            <w:r w:rsidRPr="00D91748">
              <w:rPr>
                <w:rFonts w:ascii="Bookman Old Style" w:hAnsi="Bookman Old Style" w:cs="Arial"/>
                <w:b/>
                <w:bCs/>
                <w:sz w:val="22"/>
                <w:szCs w:val="22"/>
              </w:rPr>
              <w:lastRenderedPageBreak/>
              <w:t xml:space="preserve">ARTÍCULO 1º. </w:t>
            </w:r>
            <w:r w:rsidRPr="00D91748">
              <w:rPr>
                <w:rFonts w:ascii="Bookman Old Style" w:hAnsi="Bookman Old Style" w:cs="Arial"/>
                <w:sz w:val="22"/>
                <w:szCs w:val="22"/>
              </w:rPr>
              <w:t>El artículo 49 de la Con</w:t>
            </w:r>
            <w:r>
              <w:rPr>
                <w:rFonts w:ascii="Bookman Old Style" w:hAnsi="Bookman Old Style" w:cs="Arial"/>
                <w:sz w:val="22"/>
                <w:szCs w:val="22"/>
              </w:rPr>
              <w:t>stitución Política quedará así:</w:t>
            </w:r>
          </w:p>
          <w:p w:rsidR="00904D67" w:rsidRPr="00043C11" w:rsidRDefault="00904D67" w:rsidP="00904D67">
            <w:pPr>
              <w:pStyle w:val="centrado"/>
              <w:spacing w:before="0" w:beforeAutospacing="0"/>
              <w:jc w:val="both"/>
              <w:rPr>
                <w:rFonts w:ascii="Bookman Old Style" w:hAnsi="Bookman Old Style" w:cs="Arial"/>
                <w:sz w:val="22"/>
                <w:szCs w:val="22"/>
              </w:rPr>
            </w:pPr>
            <w:r w:rsidRPr="00D91748">
              <w:rPr>
                <w:rFonts w:ascii="Bookman Old Style" w:hAnsi="Bookman Old Style" w:cs="Arial"/>
                <w:b/>
                <w:bCs/>
              </w:rPr>
              <w:t>ARTÍCULO 49o.</w:t>
            </w:r>
            <w:r w:rsidRPr="00D91748">
              <w:rPr>
                <w:rFonts w:ascii="Bookman Old Style" w:hAnsi="Bookman Old Style" w:cs="Arial"/>
              </w:rPr>
              <w:t xml:space="preserve"> </w:t>
            </w:r>
            <w:r w:rsidRPr="00043C11">
              <w:rPr>
                <w:rFonts w:ascii="Bookman Old Style" w:hAnsi="Bookman Old Style" w:cs="Arial"/>
                <w:sz w:val="22"/>
                <w:szCs w:val="22"/>
              </w:rPr>
              <w:t>La atención de la salud y el saneamiento ambiental son servicios públicos a cargo del Estado. Se garantiza a todas las personas el acceso a los servicios de promoción, protección y recuperación de la salud.</w:t>
            </w:r>
          </w:p>
          <w:p w:rsidR="00904D67" w:rsidRPr="00043C11" w:rsidRDefault="00904D67" w:rsidP="00904D67">
            <w:pPr>
              <w:spacing w:after="100" w:afterAutospacing="1"/>
              <w:jc w:val="both"/>
              <w:rPr>
                <w:rFonts w:ascii="Bookman Old Style" w:hAnsi="Bookman Old Style" w:cs="Arial"/>
              </w:rPr>
            </w:pPr>
            <w:r w:rsidRPr="00043C11">
              <w:rPr>
                <w:rFonts w:ascii="Bookman Old Style" w:hAnsi="Bookman Old Style" w:cs="Arial"/>
              </w:rPr>
              <w:t>Corresponde al Estado organizar, dirigir y reglamentar la prestación de servicios de salud a los habitantes y de saneamiento ambiental conforme a los principios de eficiencia, universalidad y solidaridad. También, establecer las políticas para la prestación de servicios de salud por entidades privadas, y ejercer su vigilancia y control. Así mismo, establecer las competencias de la Nación, las entidades territoriales y los particulares y determinar los aportes a su cargo en los términos y condiciones señalados en la ley.</w:t>
            </w:r>
          </w:p>
          <w:p w:rsidR="00904D67" w:rsidRPr="00043C11" w:rsidRDefault="00904D67" w:rsidP="00904D67">
            <w:pPr>
              <w:spacing w:after="100" w:afterAutospacing="1"/>
              <w:jc w:val="both"/>
              <w:rPr>
                <w:rFonts w:ascii="Bookman Old Style" w:hAnsi="Bookman Old Style" w:cs="Arial"/>
              </w:rPr>
            </w:pPr>
            <w:r w:rsidRPr="00043C11">
              <w:rPr>
                <w:rFonts w:ascii="Bookman Old Style" w:hAnsi="Bookman Old Style" w:cs="Arial"/>
              </w:rPr>
              <w:t>Los servicios de salud se organizarán en forma descentralizada, por niveles de atención y con participación de la comunidad.</w:t>
            </w:r>
          </w:p>
          <w:p w:rsidR="00904D67" w:rsidRPr="00043C11" w:rsidRDefault="00904D67" w:rsidP="00904D67">
            <w:pPr>
              <w:spacing w:after="100" w:afterAutospacing="1"/>
              <w:jc w:val="both"/>
              <w:rPr>
                <w:rFonts w:ascii="Bookman Old Style" w:hAnsi="Bookman Old Style" w:cs="Arial"/>
              </w:rPr>
            </w:pPr>
            <w:r w:rsidRPr="00043C11">
              <w:rPr>
                <w:rFonts w:ascii="Bookman Old Style" w:hAnsi="Bookman Old Style" w:cs="Arial"/>
              </w:rPr>
              <w:t xml:space="preserve">La ley señalará los términos en los cuales la atención básica para todos los habitantes será gratuita </w:t>
            </w:r>
            <w:r w:rsidRPr="00043C11">
              <w:rPr>
                <w:rFonts w:ascii="Bookman Old Style" w:hAnsi="Bookman Old Style" w:cs="Arial"/>
              </w:rPr>
              <w:lastRenderedPageBreak/>
              <w:t>y obligatoria.</w:t>
            </w:r>
          </w:p>
          <w:p w:rsidR="00904D67" w:rsidRDefault="00904D67" w:rsidP="00904D67">
            <w:pPr>
              <w:spacing w:after="100" w:afterAutospacing="1"/>
              <w:jc w:val="both"/>
              <w:rPr>
                <w:rFonts w:ascii="Bookman Old Style" w:hAnsi="Bookman Old Style" w:cs="Arial"/>
              </w:rPr>
            </w:pPr>
            <w:r w:rsidRPr="00043C11">
              <w:rPr>
                <w:rFonts w:ascii="Bookman Old Style" w:hAnsi="Bookman Old Style" w:cs="Arial"/>
              </w:rPr>
              <w:t>Toda persona tiene el deber de procurar el cuidado integral de su salud y de su comunidad.</w:t>
            </w:r>
          </w:p>
          <w:p w:rsidR="00904D67" w:rsidRPr="00043C11" w:rsidRDefault="00904D67" w:rsidP="00904D67">
            <w:pPr>
              <w:spacing w:after="100" w:afterAutospacing="1"/>
              <w:jc w:val="both"/>
              <w:rPr>
                <w:rFonts w:ascii="Bookman Old Style" w:hAnsi="Bookman Old Style" w:cs="Arial"/>
              </w:rPr>
            </w:pPr>
            <w:r w:rsidRPr="00043C11">
              <w:rPr>
                <w:rFonts w:ascii="Bookman Old Style" w:hAnsi="Bookman Old Style" w:cs="Arial"/>
              </w:rPr>
              <w:t xml:space="preserve">El porte y el consumo de sustancias psicoactivas no reguladas está prohibido, salvo con fines médicos y científicos. </w:t>
            </w:r>
          </w:p>
          <w:p w:rsidR="00904D67" w:rsidRDefault="00904D67" w:rsidP="00904D67">
            <w:pPr>
              <w:spacing w:after="100" w:afterAutospacing="1"/>
              <w:jc w:val="both"/>
              <w:rPr>
                <w:rFonts w:ascii="Bookman Old Style" w:hAnsi="Bookman Old Style" w:cs="Arial"/>
              </w:rPr>
            </w:pPr>
            <w:r w:rsidRPr="00043C11">
              <w:rPr>
                <w:rFonts w:ascii="Bookman Old Style" w:hAnsi="Bookman Old Style" w:cs="Arial"/>
              </w:rPr>
              <w:t xml:space="preserve">La prohibición prevista en el inciso anterior no aplicará para el porte y consumo del cannabis y sus derivados por parte de mayores de edad. Tampoco aplicará para </w:t>
            </w:r>
            <w:r>
              <w:rPr>
                <w:rFonts w:ascii="Bookman Old Style" w:hAnsi="Bookman Old Style" w:cs="Arial"/>
              </w:rPr>
              <w:t>la</w:t>
            </w:r>
            <w:r w:rsidRPr="00043C11">
              <w:rPr>
                <w:rFonts w:ascii="Bookman Old Style" w:hAnsi="Bookman Old Style" w:cs="Arial"/>
              </w:rPr>
              <w:t xml:space="preserve"> producción, distribución, venta y comercialización </w:t>
            </w:r>
            <w:r w:rsidRPr="00904D67">
              <w:rPr>
                <w:rFonts w:ascii="Bookman Old Style" w:hAnsi="Bookman Old Style" w:cs="Arial"/>
                <w:b/>
                <w:bCs/>
                <w:u w:val="single"/>
              </w:rPr>
              <w:t>de esta sustancia</w:t>
            </w:r>
            <w:r>
              <w:rPr>
                <w:rFonts w:ascii="Bookman Old Style" w:hAnsi="Bookman Old Style" w:cs="Arial"/>
              </w:rPr>
              <w:t xml:space="preserve"> </w:t>
            </w:r>
            <w:r w:rsidRPr="00043C11">
              <w:rPr>
                <w:rFonts w:ascii="Bookman Old Style" w:hAnsi="Bookman Old Style" w:cs="Arial"/>
              </w:rPr>
              <w:t>con fines de uso adulto siempre y cuando se cuente con las licencias otorgadas por la autoridad competente.</w:t>
            </w:r>
          </w:p>
          <w:p w:rsidR="00904D67" w:rsidRDefault="00904D67" w:rsidP="00904D67">
            <w:pPr>
              <w:jc w:val="both"/>
              <w:rPr>
                <w:rFonts w:ascii="Bookman Old Style" w:hAnsi="Bookman Old Style" w:cs="Arial"/>
              </w:rPr>
            </w:pPr>
          </w:p>
          <w:p w:rsidR="00904D67" w:rsidRPr="00073B82" w:rsidRDefault="00904D67" w:rsidP="00904D67">
            <w:pPr>
              <w:jc w:val="both"/>
              <w:rPr>
                <w:rFonts w:ascii="Bookman Old Style" w:hAnsi="Bookman Old Style"/>
                <w:b/>
                <w:bCs/>
                <w:color w:val="000000" w:themeColor="text1"/>
                <w:u w:val="single"/>
              </w:rPr>
            </w:pPr>
            <w:r w:rsidRPr="00073B82">
              <w:rPr>
                <w:rFonts w:ascii="Bookman Old Style" w:hAnsi="Bookman Old Style"/>
                <w:color w:val="000000" w:themeColor="text1"/>
              </w:rPr>
              <w:t xml:space="preserve">La ley </w:t>
            </w:r>
            <w:r w:rsidRPr="00904D67">
              <w:rPr>
                <w:rFonts w:ascii="Bookman Old Style" w:hAnsi="Bookman Old Style"/>
                <w:bCs/>
                <w:color w:val="000000" w:themeColor="text1"/>
              </w:rPr>
              <w:t>restringirá</w:t>
            </w:r>
            <w:r w:rsidRPr="00073B82">
              <w:rPr>
                <w:rFonts w:ascii="Bookman Old Style" w:hAnsi="Bookman Old Style"/>
                <w:color w:val="000000" w:themeColor="text1"/>
              </w:rPr>
              <w:t xml:space="preserve"> el consumo y comercialización </w:t>
            </w:r>
            <w:r w:rsidR="006312B8">
              <w:rPr>
                <w:rFonts w:ascii="Bookman Old Style" w:hAnsi="Bookman Old Style"/>
                <w:color w:val="000000" w:themeColor="text1"/>
              </w:rPr>
              <w:t xml:space="preserve">de cannabis </w:t>
            </w:r>
            <w:r w:rsidR="006312B8" w:rsidRPr="006312B8">
              <w:rPr>
                <w:rFonts w:ascii="Bookman Old Style" w:hAnsi="Bookman Old Style"/>
                <w:b/>
                <w:color w:val="000000" w:themeColor="text1"/>
                <w:u w:val="single"/>
              </w:rPr>
              <w:t>y</w:t>
            </w:r>
            <w:r w:rsidRPr="00073B82">
              <w:rPr>
                <w:rFonts w:ascii="Bookman Old Style" w:hAnsi="Bookman Old Style"/>
                <w:color w:val="000000" w:themeColor="text1"/>
              </w:rPr>
              <w:t xml:space="preserve"> sus derivados en entornos escolares</w:t>
            </w:r>
            <w:r w:rsidR="00336F76">
              <w:rPr>
                <w:rFonts w:ascii="Bookman Old Style" w:hAnsi="Bookman Old Style"/>
                <w:b/>
                <w:color w:val="000000" w:themeColor="text1"/>
                <w:u w:val="single"/>
              </w:rPr>
              <w:t>, en espacios de atención a la primera infancia</w:t>
            </w:r>
            <w:r w:rsidRPr="00073B82">
              <w:rPr>
                <w:rFonts w:ascii="Bookman Old Style" w:hAnsi="Bookman Old Style"/>
                <w:color w:val="000000" w:themeColor="text1"/>
              </w:rPr>
              <w:t xml:space="preserve"> </w:t>
            </w:r>
            <w:r w:rsidRPr="00904D67">
              <w:rPr>
                <w:rFonts w:ascii="Bookman Old Style" w:hAnsi="Bookman Old Style"/>
                <w:b/>
                <w:bCs/>
                <w:color w:val="000000" w:themeColor="text1"/>
                <w:u w:val="single"/>
              </w:rPr>
              <w:t>y al interior de toda institución educativa y/o instituciones de educación superior,</w:t>
            </w:r>
            <w:r w:rsidRPr="00073B82">
              <w:rPr>
                <w:rFonts w:ascii="Bookman Old Style" w:hAnsi="Bookman Old Style"/>
                <w:color w:val="000000" w:themeColor="text1"/>
              </w:rPr>
              <w:t xml:space="preserve"> y reglamentará el porte y consumo de cannabis y sus derivados en espacios públicos, recreativos, en espacios privados abiertos al público, zonas comunes, </w:t>
            </w:r>
            <w:r w:rsidRPr="006312B8">
              <w:rPr>
                <w:rFonts w:ascii="Bookman Old Style" w:hAnsi="Bookman Old Style"/>
                <w:b/>
                <w:bCs/>
                <w:color w:val="000000" w:themeColor="text1"/>
                <w:u w:val="single"/>
              </w:rPr>
              <w:t>entidades religiosas</w:t>
            </w:r>
            <w:r w:rsidR="006312B8">
              <w:rPr>
                <w:rFonts w:ascii="Bookman Old Style" w:hAnsi="Bookman Old Style"/>
                <w:color w:val="000000" w:themeColor="text1"/>
              </w:rPr>
              <w:t xml:space="preserve"> </w:t>
            </w:r>
            <w:r w:rsidR="006312B8" w:rsidRPr="006312B8">
              <w:rPr>
                <w:rFonts w:ascii="Bookman Old Style" w:hAnsi="Bookman Old Style"/>
                <w:b/>
                <w:strike/>
                <w:color w:val="000000" w:themeColor="text1"/>
              </w:rPr>
              <w:t>en</w:t>
            </w:r>
            <w:r w:rsidRPr="00073B82">
              <w:rPr>
                <w:rFonts w:ascii="Bookman Old Style" w:hAnsi="Bookman Old Style"/>
                <w:color w:val="000000" w:themeColor="text1"/>
              </w:rPr>
              <w:t xml:space="preserve"> establecimientos carcelarios y de rehabilitación, entre otros. </w:t>
            </w:r>
            <w:r w:rsidRPr="00073B82">
              <w:rPr>
                <w:rFonts w:ascii="Bookman Old Style" w:hAnsi="Bookman Old Style"/>
                <w:b/>
                <w:bCs/>
                <w:color w:val="000000" w:themeColor="text1"/>
                <w:u w:val="single"/>
              </w:rPr>
              <w:t xml:space="preserve">Del mismo modo, la ley establecerá medidas de control eficaces basadas en evidencia científica para proteger de manera integral a la niñez y la adolescencia y a la población en general para prevenir los daños asociados al consumo de </w:t>
            </w:r>
            <w:r w:rsidRPr="00073B82">
              <w:rPr>
                <w:rFonts w:ascii="Bookman Old Style" w:hAnsi="Bookman Old Style"/>
                <w:b/>
                <w:bCs/>
                <w:color w:val="000000" w:themeColor="text1"/>
                <w:u w:val="single"/>
              </w:rPr>
              <w:lastRenderedPageBreak/>
              <w:t xml:space="preserve">cannabis. </w:t>
            </w:r>
          </w:p>
          <w:p w:rsidR="00904D67" w:rsidRPr="00E916B4" w:rsidRDefault="00904D67" w:rsidP="00904D67">
            <w:pPr>
              <w:ind w:left="708"/>
              <w:jc w:val="both"/>
              <w:rPr>
                <w:rFonts w:ascii="Bookman Old Style" w:hAnsi="Bookman Old Style"/>
                <w:color w:val="FF0000"/>
              </w:rPr>
            </w:pPr>
          </w:p>
          <w:p w:rsidR="00904D67" w:rsidRPr="00043C11" w:rsidRDefault="00904D67" w:rsidP="00904D67">
            <w:pPr>
              <w:spacing w:after="100" w:afterAutospacing="1"/>
              <w:jc w:val="both"/>
              <w:rPr>
                <w:rFonts w:ascii="Bookman Old Style" w:hAnsi="Bookman Old Style" w:cs="Arial"/>
              </w:rPr>
            </w:pPr>
            <w:r w:rsidRPr="00043C11">
              <w:rPr>
                <w:rFonts w:ascii="Bookman Old Style" w:hAnsi="Bookman Old Style" w:cs="Arial"/>
              </w:rPr>
              <w:t>Con fines preventivos y rehabilitadores la ley establecerá medidas y tratamientos de orden pedagógico, profiláctico o terapéutico para toda la población y en especial a las personas que consuman sustancias psicoactivas. El acceso a esas medidas y tratamientos requiere el consentimiento informado del consumidor.</w:t>
            </w:r>
          </w:p>
          <w:p w:rsidR="00904D67" w:rsidRDefault="00904D67" w:rsidP="00904D67">
            <w:pPr>
              <w:spacing w:after="100" w:afterAutospacing="1"/>
              <w:jc w:val="both"/>
              <w:rPr>
                <w:rFonts w:ascii="Bookman Old Style" w:hAnsi="Bookman Old Style" w:cs="Arial"/>
              </w:rPr>
            </w:pPr>
            <w:r w:rsidRPr="00043C11">
              <w:rPr>
                <w:rFonts w:ascii="Bookman Old Style" w:hAnsi="Bookman Old Style" w:cs="Arial"/>
              </w:rPr>
              <w:t>El Estado atenderá con un enfoque de Derechos Humanos y de salud pública a toda la población procurando el cuidado integral de la salud de las personas y, por consiguiente, de la comunidad</w:t>
            </w:r>
            <w:r w:rsidRPr="00573B35">
              <w:rPr>
                <w:rFonts w:ascii="Bookman Old Style" w:hAnsi="Bookman Old Style" w:cs="Arial"/>
                <w:b/>
                <w:bCs/>
                <w:strike/>
              </w:rPr>
              <w:t>,</w:t>
            </w:r>
            <w:r w:rsidRPr="00573B35">
              <w:rPr>
                <w:rFonts w:ascii="Bookman Old Style" w:hAnsi="Bookman Old Style" w:cs="Arial"/>
                <w:b/>
                <w:bCs/>
                <w:u w:val="single"/>
              </w:rPr>
              <w:t>.</w:t>
            </w:r>
            <w:r w:rsidRPr="00043C11">
              <w:rPr>
                <w:rFonts w:ascii="Bookman Old Style" w:hAnsi="Bookman Old Style" w:cs="Arial"/>
              </w:rPr>
              <w:t xml:space="preserve"> </w:t>
            </w:r>
            <w:r w:rsidRPr="00573B35">
              <w:rPr>
                <w:rFonts w:ascii="Bookman Old Style" w:hAnsi="Bookman Old Style" w:cs="Arial"/>
                <w:b/>
                <w:bCs/>
                <w:strike/>
              </w:rPr>
              <w:t>y</w:t>
            </w:r>
            <w:r w:rsidRPr="00043C11">
              <w:rPr>
                <w:rFonts w:ascii="Bookman Old Style" w:hAnsi="Bookman Old Style" w:cs="Arial"/>
              </w:rPr>
              <w:t xml:space="preserve"> </w:t>
            </w:r>
            <w:r w:rsidRPr="00573B35">
              <w:rPr>
                <w:rFonts w:ascii="Bookman Old Style" w:hAnsi="Bookman Old Style" w:cs="Arial"/>
                <w:b/>
                <w:bCs/>
                <w:u w:val="single"/>
              </w:rPr>
              <w:t>Así mismo,</w:t>
            </w:r>
            <w:r>
              <w:rPr>
                <w:rFonts w:ascii="Bookman Old Style" w:hAnsi="Bookman Old Style" w:cs="Arial"/>
              </w:rPr>
              <w:t xml:space="preserve"> </w:t>
            </w:r>
            <w:r w:rsidRPr="00573B35">
              <w:rPr>
                <w:rFonts w:ascii="Bookman Old Style" w:hAnsi="Bookman Old Style" w:cs="Arial"/>
                <w:b/>
                <w:bCs/>
                <w:u w:val="single"/>
              </w:rPr>
              <w:t>con el propósito</w:t>
            </w:r>
            <w:r>
              <w:rPr>
                <w:rFonts w:ascii="Bookman Old Style" w:hAnsi="Bookman Old Style" w:cs="Arial"/>
                <w:b/>
                <w:bCs/>
                <w:u w:val="single"/>
              </w:rPr>
              <w:t xml:space="preserve"> de garantizar el goce del grado máximo de salud que se pueda lograr,</w:t>
            </w:r>
            <w:r>
              <w:rPr>
                <w:rFonts w:ascii="Bookman Old Style" w:hAnsi="Bookman Old Style" w:cs="Arial"/>
              </w:rPr>
              <w:t xml:space="preserve"> </w:t>
            </w:r>
            <w:r w:rsidRPr="00573B35">
              <w:rPr>
                <w:rFonts w:ascii="Bookman Old Style" w:hAnsi="Bookman Old Style" w:cs="Arial"/>
                <w:b/>
                <w:bCs/>
                <w:u w:val="single"/>
              </w:rPr>
              <w:t>se</w:t>
            </w:r>
            <w:r>
              <w:rPr>
                <w:rFonts w:ascii="Bookman Old Style" w:hAnsi="Bookman Old Style" w:cs="Arial"/>
              </w:rPr>
              <w:t xml:space="preserve"> </w:t>
            </w:r>
            <w:r w:rsidRPr="00043C11">
              <w:rPr>
                <w:rFonts w:ascii="Bookman Old Style" w:hAnsi="Bookman Old Style" w:cs="Arial"/>
              </w:rPr>
              <w:t>desarrollará</w:t>
            </w:r>
            <w:r w:rsidRPr="00573B35">
              <w:rPr>
                <w:rFonts w:ascii="Bookman Old Style" w:hAnsi="Bookman Old Style" w:cs="Arial"/>
                <w:b/>
                <w:bCs/>
                <w:u w:val="single"/>
              </w:rPr>
              <w:t>n</w:t>
            </w:r>
            <w:r w:rsidRPr="00043C11">
              <w:rPr>
                <w:rFonts w:ascii="Bookman Old Style" w:hAnsi="Bookman Old Style" w:cs="Arial"/>
              </w:rPr>
              <w:t xml:space="preserve"> en forma permanente medidas y estrategias de prevención del consumo de sustancias psicoactivas</w:t>
            </w:r>
            <w:r>
              <w:rPr>
                <w:rFonts w:ascii="Bookman Old Style" w:hAnsi="Bookman Old Style" w:cs="Arial"/>
              </w:rPr>
              <w:t xml:space="preserve"> </w:t>
            </w:r>
            <w:r>
              <w:rPr>
                <w:rFonts w:ascii="Bookman Old Style" w:hAnsi="Bookman Old Style" w:cs="Arial"/>
                <w:b/>
                <w:bCs/>
                <w:u w:val="single"/>
              </w:rPr>
              <w:t>en cualquiera de sus formas</w:t>
            </w:r>
            <w:r w:rsidRPr="00043C11">
              <w:rPr>
                <w:rFonts w:ascii="Bookman Old Style" w:hAnsi="Bookman Old Style" w:cs="Arial"/>
              </w:rPr>
              <w:t xml:space="preserve">, </w:t>
            </w:r>
            <w:r>
              <w:rPr>
                <w:rFonts w:ascii="Bookman Old Style" w:hAnsi="Bookman Old Style" w:cs="Arial"/>
                <w:b/>
                <w:u w:val="single"/>
              </w:rPr>
              <w:t xml:space="preserve">principalmente en la niñez y la adolescencia, con apoyo al abandono del consumo e implementación de intervenciones </w:t>
            </w:r>
            <w:r w:rsidRPr="00573B35">
              <w:rPr>
                <w:rFonts w:ascii="Bookman Old Style" w:hAnsi="Bookman Old Style" w:cs="Arial"/>
                <w:b/>
                <w:bCs/>
                <w:u w:val="single"/>
              </w:rPr>
              <w:t>focalizadas</w:t>
            </w:r>
            <w:r w:rsidRPr="00A264F7">
              <w:rPr>
                <w:rFonts w:ascii="Bookman Old Style" w:hAnsi="Bookman Old Style" w:cs="Arial"/>
                <w:b/>
                <w:bCs/>
                <w:u w:val="single"/>
              </w:rPr>
              <w:t xml:space="preserve"> para la</w:t>
            </w:r>
            <w:r w:rsidRPr="00043C11">
              <w:rPr>
                <w:rFonts w:ascii="Bookman Old Style" w:hAnsi="Bookman Old Style" w:cs="Arial"/>
              </w:rPr>
              <w:t xml:space="preserve"> reducción de riesgos y daños en favor de los consumidores. </w:t>
            </w:r>
          </w:p>
          <w:p w:rsidR="00904D67" w:rsidRDefault="00904D67" w:rsidP="00904D67">
            <w:pPr>
              <w:spacing w:after="100" w:afterAutospacing="1"/>
              <w:jc w:val="both"/>
              <w:rPr>
                <w:rFonts w:ascii="Bookman Old Style" w:hAnsi="Bookman Old Style" w:cs="Arial"/>
                <w:b/>
                <w:u w:val="single"/>
              </w:rPr>
            </w:pPr>
          </w:p>
          <w:p w:rsidR="00904D67" w:rsidRPr="00043C11" w:rsidRDefault="00904D67" w:rsidP="00904D67">
            <w:pPr>
              <w:spacing w:after="100" w:afterAutospacing="1"/>
              <w:jc w:val="both"/>
              <w:rPr>
                <w:rFonts w:ascii="Bookman Old Style" w:eastAsia="Arial Narrow" w:hAnsi="Bookman Old Style" w:cs="Arial Narrow"/>
              </w:rPr>
            </w:pPr>
            <w:r w:rsidRPr="00043C11">
              <w:rPr>
                <w:rFonts w:ascii="Bookman Old Style" w:eastAsia="Arial Narrow" w:hAnsi="Bookman Old Style" w:cs="Arial Narrow"/>
              </w:rPr>
              <w:t>En ese mismo sentido, se garantizará el tratamiento y rehabilitación de</w:t>
            </w:r>
            <w:r>
              <w:rPr>
                <w:rFonts w:ascii="Bookman Old Style" w:eastAsia="Arial Narrow" w:hAnsi="Bookman Old Style" w:cs="Arial Narrow"/>
              </w:rPr>
              <w:t xml:space="preserve"> </w:t>
            </w:r>
            <w:r w:rsidRPr="002F47A9">
              <w:rPr>
                <w:rFonts w:ascii="Bookman Old Style" w:eastAsia="Arial Narrow" w:hAnsi="Bookman Old Style" w:cs="Arial Narrow"/>
                <w:b/>
                <w:bCs/>
                <w:u w:val="single"/>
              </w:rPr>
              <w:t>los consumidores de</w:t>
            </w:r>
            <w:r w:rsidRPr="00043C11">
              <w:rPr>
                <w:rFonts w:ascii="Bookman Old Style" w:eastAsia="Arial Narrow" w:hAnsi="Bookman Old Style" w:cs="Arial Narrow"/>
              </w:rPr>
              <w:t xml:space="preserve"> sustancias psicoactivas y a su familia y/o redes de apoyo. Estas medidas y tratamientos requieren el consentimiento informado del consumidor.</w:t>
            </w:r>
          </w:p>
          <w:p w:rsidR="009578B2" w:rsidRDefault="009578B2" w:rsidP="00904D67">
            <w:pPr>
              <w:spacing w:after="100" w:afterAutospacing="1"/>
              <w:jc w:val="both"/>
              <w:rPr>
                <w:rFonts w:ascii="Bookman Old Style" w:hAnsi="Bookman Old Style" w:cs="Arial"/>
              </w:rPr>
            </w:pPr>
          </w:p>
          <w:p w:rsidR="00904D67" w:rsidRDefault="00904D67" w:rsidP="00904D67">
            <w:pPr>
              <w:spacing w:after="100" w:afterAutospacing="1"/>
              <w:jc w:val="both"/>
              <w:rPr>
                <w:rFonts w:ascii="Bookman Old Style" w:hAnsi="Bookman Old Style" w:cs="Arial"/>
                <w:b/>
                <w:bCs/>
                <w:u w:val="single"/>
              </w:rPr>
            </w:pPr>
            <w:r w:rsidRPr="00043C11">
              <w:rPr>
                <w:rFonts w:ascii="Bookman Old Style" w:hAnsi="Bookman Old Style" w:cs="Arial"/>
              </w:rPr>
              <w:t>El Estado incorporará</w:t>
            </w:r>
            <w:r>
              <w:rPr>
                <w:rFonts w:ascii="Bookman Old Style" w:hAnsi="Bookman Old Style" w:cs="Arial"/>
              </w:rPr>
              <w:t xml:space="preserve"> </w:t>
            </w:r>
            <w:r>
              <w:rPr>
                <w:rFonts w:ascii="Bookman Old Style" w:hAnsi="Bookman Old Style" w:cs="Arial"/>
                <w:b/>
                <w:bCs/>
                <w:u w:val="single"/>
              </w:rPr>
              <w:t>de manera integral</w:t>
            </w:r>
            <w:r w:rsidRPr="00043C11">
              <w:rPr>
                <w:rFonts w:ascii="Bookman Old Style" w:hAnsi="Bookman Old Style" w:cs="Arial"/>
              </w:rPr>
              <w:t xml:space="preserve"> en el Sistema Educativo, en sus diferentes formas, modalidades y niveles, la educación sobre la prevención en el consumo de sustancias psicoactivas y sus efectos nocivos</w:t>
            </w:r>
            <w:r>
              <w:rPr>
                <w:rFonts w:ascii="Bookman Old Style" w:hAnsi="Bookman Old Style" w:cs="Arial"/>
              </w:rPr>
              <w:t xml:space="preserve"> </w:t>
            </w:r>
            <w:r>
              <w:rPr>
                <w:rFonts w:ascii="Bookman Old Style" w:hAnsi="Bookman Old Style" w:cs="Arial"/>
                <w:b/>
                <w:bCs/>
                <w:u w:val="single"/>
              </w:rPr>
              <w:t>tanto en la salud como en el desarrollo comunitario.</w:t>
            </w:r>
          </w:p>
          <w:p w:rsidR="00904D67" w:rsidRDefault="00904D67" w:rsidP="00904D67">
            <w:pPr>
              <w:jc w:val="both"/>
              <w:rPr>
                <w:rFonts w:ascii="Bookman Old Style" w:hAnsi="Bookman Old Style" w:cs="Arial"/>
              </w:rPr>
            </w:pPr>
            <w:r w:rsidRPr="00043C11">
              <w:rPr>
                <w:rFonts w:ascii="Bookman Old Style" w:hAnsi="Bookman Old Style" w:cs="Arial"/>
              </w:rPr>
              <w:t>Las entidades que conforman el Sistema General de Seguridad Social en Salud y sus prestadores garantizarán la aplicación e incorporación de lo establecido en este artículo de forma obligatoria.</w:t>
            </w:r>
          </w:p>
          <w:p w:rsidR="00BA4030" w:rsidRPr="007E3D78" w:rsidRDefault="00BA4030" w:rsidP="007E2A01">
            <w:pPr>
              <w:jc w:val="both"/>
              <w:rPr>
                <w:rFonts w:ascii="Bookman Old Style" w:eastAsia="Calibri" w:hAnsi="Bookman Old Style"/>
                <w:bCs/>
              </w:rPr>
            </w:pPr>
          </w:p>
        </w:tc>
        <w:tc>
          <w:tcPr>
            <w:tcW w:w="2835" w:type="dxa"/>
          </w:tcPr>
          <w:p w:rsidR="00BA4030" w:rsidRDefault="00BA4030" w:rsidP="009D0EA6">
            <w:pPr>
              <w:pStyle w:val="centrado"/>
              <w:spacing w:before="0" w:beforeAutospacing="0"/>
              <w:jc w:val="both"/>
              <w:rPr>
                <w:rFonts w:ascii="Bookman Old Style" w:hAnsi="Bookman Old Style" w:cs="Arial"/>
                <w:bCs/>
                <w:sz w:val="22"/>
                <w:szCs w:val="22"/>
              </w:rPr>
            </w:pPr>
            <w:r w:rsidRPr="00BA4030">
              <w:rPr>
                <w:rFonts w:ascii="Bookman Old Style" w:hAnsi="Bookman Old Style" w:cs="Arial"/>
                <w:bCs/>
                <w:sz w:val="22"/>
                <w:szCs w:val="22"/>
              </w:rPr>
              <w:lastRenderedPageBreak/>
              <w:t xml:space="preserve"> </w:t>
            </w:r>
            <w:r w:rsidR="0024410D">
              <w:rPr>
                <w:rFonts w:ascii="Bookman Old Style" w:hAnsi="Bookman Old Style" w:cs="Arial"/>
                <w:bCs/>
                <w:sz w:val="22"/>
                <w:szCs w:val="22"/>
              </w:rPr>
              <w:t xml:space="preserve">Se hace un ajuste de redacción en el inciso 7°. </w:t>
            </w:r>
          </w:p>
          <w:p w:rsidR="0024410D" w:rsidRDefault="0024410D" w:rsidP="009D0EA6">
            <w:pPr>
              <w:pStyle w:val="centrado"/>
              <w:spacing w:before="0" w:beforeAutospacing="0"/>
              <w:jc w:val="both"/>
              <w:rPr>
                <w:rFonts w:ascii="Bookman Old Style" w:hAnsi="Bookman Old Style" w:cs="Arial"/>
                <w:bCs/>
                <w:sz w:val="22"/>
                <w:szCs w:val="22"/>
              </w:rPr>
            </w:pPr>
            <w:r>
              <w:rPr>
                <w:rFonts w:ascii="Bookman Old Style" w:hAnsi="Bookman Old Style" w:cs="Arial"/>
                <w:bCs/>
                <w:sz w:val="22"/>
                <w:szCs w:val="22"/>
              </w:rPr>
              <w:t>S</w:t>
            </w:r>
            <w:r w:rsidR="004A1857">
              <w:rPr>
                <w:rFonts w:ascii="Bookman Old Style" w:hAnsi="Bookman Old Style" w:cs="Arial"/>
                <w:bCs/>
                <w:sz w:val="22"/>
                <w:szCs w:val="22"/>
              </w:rPr>
              <w:t>e acordó con los ponentes</w:t>
            </w:r>
            <w:r>
              <w:rPr>
                <w:rFonts w:ascii="Bookman Old Style" w:hAnsi="Bookman Old Style" w:cs="Arial"/>
                <w:bCs/>
                <w:sz w:val="22"/>
                <w:szCs w:val="22"/>
              </w:rPr>
              <w:t xml:space="preserve"> una redacción en el inciso 8° que extiende la restricción al interior de instituciones de educación superior. Se incluyen las entidades religiosas </w:t>
            </w:r>
            <w:r w:rsidR="004A1857">
              <w:rPr>
                <w:rFonts w:ascii="Bookman Old Style" w:hAnsi="Bookman Old Style" w:cs="Arial"/>
                <w:bCs/>
                <w:sz w:val="22"/>
                <w:szCs w:val="22"/>
              </w:rPr>
              <w:t xml:space="preserve">dentro de los espacios en que la ley reglamentará el porte y consumo de cannabis. </w:t>
            </w:r>
          </w:p>
          <w:p w:rsidR="004A1857" w:rsidRDefault="004A1857" w:rsidP="009D0EA6">
            <w:pPr>
              <w:pStyle w:val="centrado"/>
              <w:spacing w:before="0" w:beforeAutospacing="0"/>
              <w:jc w:val="both"/>
              <w:rPr>
                <w:rFonts w:ascii="Bookman Old Style" w:hAnsi="Bookman Old Style" w:cs="Arial"/>
                <w:bCs/>
                <w:sz w:val="22"/>
                <w:szCs w:val="22"/>
              </w:rPr>
            </w:pPr>
            <w:r>
              <w:rPr>
                <w:rFonts w:ascii="Bookman Old Style" w:hAnsi="Bookman Old Style" w:cs="Arial"/>
                <w:bCs/>
                <w:sz w:val="22"/>
                <w:szCs w:val="22"/>
              </w:rPr>
              <w:t>Con insumos recogidos d</w:t>
            </w:r>
            <w:r w:rsidR="00266ACC">
              <w:rPr>
                <w:rFonts w:ascii="Bookman Old Style" w:hAnsi="Bookman Old Style" w:cs="Arial"/>
                <w:bCs/>
                <w:sz w:val="22"/>
                <w:szCs w:val="22"/>
              </w:rPr>
              <w:t>e algunas organizaciones de la sociedad civil se decidió</w:t>
            </w:r>
            <w:r>
              <w:rPr>
                <w:rFonts w:ascii="Bookman Old Style" w:hAnsi="Bookman Old Style" w:cs="Arial"/>
                <w:bCs/>
                <w:sz w:val="22"/>
                <w:szCs w:val="22"/>
              </w:rPr>
              <w:t xml:space="preserve"> </w:t>
            </w:r>
            <w:r w:rsidR="00266ACC">
              <w:rPr>
                <w:rFonts w:ascii="Bookman Old Style" w:hAnsi="Bookman Old Style" w:cs="Arial"/>
                <w:bCs/>
                <w:sz w:val="22"/>
                <w:szCs w:val="22"/>
              </w:rPr>
              <w:t>incluir</w:t>
            </w:r>
            <w:r>
              <w:rPr>
                <w:rFonts w:ascii="Bookman Old Style" w:hAnsi="Bookman Old Style" w:cs="Arial"/>
                <w:bCs/>
                <w:sz w:val="22"/>
                <w:szCs w:val="22"/>
              </w:rPr>
              <w:t xml:space="preserve"> una protección adicional a la niñez y adolescencia que faculta a que la ley fije medidas de control para evitar el consumo</w:t>
            </w:r>
            <w:r w:rsidR="00266ACC">
              <w:rPr>
                <w:rFonts w:ascii="Bookman Old Style" w:hAnsi="Bookman Old Style" w:cs="Arial"/>
                <w:bCs/>
                <w:sz w:val="22"/>
                <w:szCs w:val="22"/>
              </w:rPr>
              <w:t xml:space="preserve"> de cannabis</w:t>
            </w:r>
            <w:r>
              <w:rPr>
                <w:rFonts w:ascii="Bookman Old Style" w:hAnsi="Bookman Old Style" w:cs="Arial"/>
                <w:bCs/>
                <w:sz w:val="22"/>
                <w:szCs w:val="22"/>
              </w:rPr>
              <w:t xml:space="preserve"> y sus daños asociados. </w:t>
            </w:r>
          </w:p>
          <w:p w:rsidR="00266ACC" w:rsidRDefault="004A1857" w:rsidP="009D0EA6">
            <w:pPr>
              <w:pStyle w:val="centrado"/>
              <w:spacing w:before="0" w:beforeAutospacing="0"/>
              <w:jc w:val="both"/>
              <w:rPr>
                <w:rFonts w:ascii="Bookman Old Style" w:hAnsi="Bookman Old Style" w:cs="Arial"/>
                <w:bCs/>
                <w:sz w:val="22"/>
                <w:szCs w:val="22"/>
              </w:rPr>
            </w:pPr>
            <w:r>
              <w:rPr>
                <w:rFonts w:ascii="Bookman Old Style" w:hAnsi="Bookman Old Style" w:cs="Arial"/>
                <w:bCs/>
                <w:sz w:val="22"/>
                <w:szCs w:val="22"/>
              </w:rPr>
              <w:t>En el inciso 10° se incluye la expresión “</w:t>
            </w:r>
            <w:r w:rsidRPr="004A1857">
              <w:rPr>
                <w:rFonts w:ascii="Bookman Old Style" w:hAnsi="Bookman Old Style" w:cs="Arial"/>
                <w:bCs/>
              </w:rPr>
              <w:t>grado máximo de salud</w:t>
            </w:r>
            <w:r w:rsidRPr="004A1857">
              <w:rPr>
                <w:rFonts w:ascii="Bookman Old Style" w:hAnsi="Bookman Old Style" w:cs="Arial"/>
                <w:bCs/>
                <w:sz w:val="22"/>
                <w:szCs w:val="22"/>
              </w:rPr>
              <w:t>”</w:t>
            </w:r>
            <w:r>
              <w:rPr>
                <w:rFonts w:ascii="Bookman Old Style" w:hAnsi="Bookman Old Style" w:cs="Arial"/>
                <w:bCs/>
                <w:sz w:val="22"/>
                <w:szCs w:val="22"/>
              </w:rPr>
              <w:t xml:space="preserve"> como guía en la política de prevención del consumo. También se incluyen las medidas de abandono del consumo y se focaliza</w:t>
            </w:r>
            <w:r w:rsidR="00266ACC">
              <w:rPr>
                <w:rFonts w:ascii="Bookman Old Style" w:hAnsi="Bookman Old Style" w:cs="Arial"/>
                <w:bCs/>
                <w:sz w:val="22"/>
                <w:szCs w:val="22"/>
              </w:rPr>
              <w:t>n</w:t>
            </w:r>
            <w:r>
              <w:rPr>
                <w:rFonts w:ascii="Bookman Old Style" w:hAnsi="Bookman Old Style" w:cs="Arial"/>
                <w:bCs/>
                <w:sz w:val="22"/>
                <w:szCs w:val="22"/>
              </w:rPr>
              <w:t xml:space="preserve"> las intervenciones en </w:t>
            </w:r>
            <w:r>
              <w:rPr>
                <w:rFonts w:ascii="Bookman Old Style" w:hAnsi="Bookman Old Style" w:cs="Arial"/>
                <w:bCs/>
                <w:sz w:val="22"/>
                <w:szCs w:val="22"/>
              </w:rPr>
              <w:lastRenderedPageBreak/>
              <w:t>materia de reducción de riesgos y daños.</w:t>
            </w:r>
          </w:p>
          <w:p w:rsidR="004A1857" w:rsidRDefault="00266ACC" w:rsidP="009D0EA6">
            <w:pPr>
              <w:pStyle w:val="centrado"/>
              <w:spacing w:before="0" w:beforeAutospacing="0"/>
              <w:jc w:val="both"/>
              <w:rPr>
                <w:rFonts w:ascii="Bookman Old Style" w:hAnsi="Bookman Old Style" w:cs="Arial"/>
                <w:bCs/>
                <w:sz w:val="22"/>
                <w:szCs w:val="22"/>
              </w:rPr>
            </w:pPr>
            <w:r>
              <w:rPr>
                <w:rFonts w:ascii="Bookman Old Style" w:hAnsi="Bookman Old Style" w:cs="Arial"/>
                <w:bCs/>
                <w:sz w:val="22"/>
                <w:szCs w:val="22"/>
              </w:rPr>
              <w:t xml:space="preserve">Se acordó con los ponentes extender la garantía del tratamiento a todos los consumidores y no solo a los que tengas una relación problemática con sustancias psicoactivas. </w:t>
            </w:r>
            <w:r w:rsidR="004A1857">
              <w:rPr>
                <w:rFonts w:ascii="Bookman Old Style" w:hAnsi="Bookman Old Style" w:cs="Arial"/>
                <w:bCs/>
                <w:sz w:val="22"/>
                <w:szCs w:val="22"/>
              </w:rPr>
              <w:t xml:space="preserve">  </w:t>
            </w:r>
          </w:p>
          <w:p w:rsidR="00266ACC" w:rsidRDefault="00266ACC" w:rsidP="009D0EA6">
            <w:pPr>
              <w:pStyle w:val="centrado"/>
              <w:spacing w:before="0" w:beforeAutospacing="0"/>
              <w:jc w:val="both"/>
              <w:rPr>
                <w:rFonts w:ascii="Bookman Old Style" w:hAnsi="Bookman Old Style" w:cs="Arial"/>
                <w:bCs/>
                <w:sz w:val="22"/>
                <w:szCs w:val="22"/>
              </w:rPr>
            </w:pPr>
            <w:r>
              <w:rPr>
                <w:rFonts w:ascii="Bookman Old Style" w:hAnsi="Bookman Old Style" w:cs="Arial"/>
                <w:bCs/>
                <w:sz w:val="22"/>
                <w:szCs w:val="22"/>
              </w:rPr>
              <w:t xml:space="preserve">En el inciso 12° se incluyen las expresiones “de manera integral” y </w:t>
            </w:r>
            <w:r w:rsidRPr="00266ACC">
              <w:rPr>
                <w:rFonts w:ascii="Bookman Old Style" w:hAnsi="Bookman Old Style" w:cs="Arial"/>
                <w:bCs/>
                <w:sz w:val="22"/>
                <w:szCs w:val="22"/>
              </w:rPr>
              <w:t>“</w:t>
            </w:r>
            <w:r w:rsidRPr="00266ACC">
              <w:rPr>
                <w:rFonts w:ascii="Bookman Old Style" w:hAnsi="Bookman Old Style" w:cs="Arial"/>
                <w:bCs/>
              </w:rPr>
              <w:t>tanto en la salud co</w:t>
            </w:r>
            <w:r>
              <w:rPr>
                <w:rFonts w:ascii="Bookman Old Style" w:hAnsi="Bookman Old Style" w:cs="Arial"/>
                <w:bCs/>
              </w:rPr>
              <w:t>mo en el desarrollo comunitario</w:t>
            </w:r>
            <w:r w:rsidRPr="00266ACC">
              <w:rPr>
                <w:rFonts w:ascii="Bookman Old Style" w:hAnsi="Bookman Old Style" w:cs="Arial"/>
                <w:bCs/>
                <w:sz w:val="22"/>
                <w:szCs w:val="22"/>
              </w:rPr>
              <w:t>”</w:t>
            </w:r>
            <w:r>
              <w:rPr>
                <w:rFonts w:ascii="Bookman Old Style" w:hAnsi="Bookman Old Style" w:cs="Arial"/>
                <w:bCs/>
                <w:sz w:val="22"/>
                <w:szCs w:val="22"/>
              </w:rPr>
              <w:t>.</w:t>
            </w:r>
          </w:p>
          <w:p w:rsidR="0024410D" w:rsidRPr="00BA4030" w:rsidRDefault="0024410D" w:rsidP="009D0EA6">
            <w:pPr>
              <w:pStyle w:val="centrado"/>
              <w:spacing w:before="0" w:beforeAutospacing="0"/>
              <w:jc w:val="both"/>
              <w:rPr>
                <w:rFonts w:ascii="Bookman Old Style" w:hAnsi="Bookman Old Style" w:cs="Arial"/>
                <w:bCs/>
                <w:sz w:val="22"/>
                <w:szCs w:val="22"/>
              </w:rPr>
            </w:pPr>
          </w:p>
        </w:tc>
      </w:tr>
      <w:tr w:rsidR="00BA4030" w:rsidTr="006E318D">
        <w:trPr>
          <w:trHeight w:val="1112"/>
        </w:trPr>
        <w:tc>
          <w:tcPr>
            <w:tcW w:w="3898" w:type="dxa"/>
          </w:tcPr>
          <w:p w:rsidR="00D3444C" w:rsidRDefault="00BA4030" w:rsidP="00806AC2">
            <w:pPr>
              <w:pStyle w:val="NormalWeb"/>
              <w:spacing w:line="270" w:lineRule="atLeast"/>
              <w:jc w:val="both"/>
              <w:rPr>
                <w:rFonts w:ascii="Bookman Old Style" w:hAnsi="Bookman Old Style" w:cs="Arial"/>
                <w:b/>
                <w:bCs/>
                <w:sz w:val="22"/>
                <w:szCs w:val="22"/>
              </w:rPr>
            </w:pPr>
            <w:r w:rsidRPr="00D91748">
              <w:rPr>
                <w:rFonts w:ascii="Bookman Old Style" w:hAnsi="Bookman Old Style" w:cs="Arial"/>
                <w:b/>
                <w:bCs/>
                <w:sz w:val="22"/>
                <w:szCs w:val="22"/>
              </w:rPr>
              <w:lastRenderedPageBreak/>
              <w:t xml:space="preserve">ARTÍCULO 2°. TRANSITORIO. </w:t>
            </w:r>
          </w:p>
          <w:p w:rsidR="00D3444C" w:rsidRDefault="00D3444C" w:rsidP="00D3444C">
            <w:pPr>
              <w:pStyle w:val="NormalWeb"/>
              <w:spacing w:line="270" w:lineRule="atLeast"/>
              <w:jc w:val="both"/>
              <w:rPr>
                <w:rFonts w:ascii="Bookman Old Style" w:hAnsi="Bookman Old Style" w:cs="Arial"/>
                <w:bCs/>
                <w:sz w:val="22"/>
                <w:szCs w:val="22"/>
              </w:rPr>
            </w:pPr>
            <w:r w:rsidRPr="00043C11">
              <w:rPr>
                <w:rFonts w:ascii="Bookman Old Style" w:hAnsi="Bookman Old Style" w:cs="Arial"/>
                <w:sz w:val="22"/>
                <w:szCs w:val="22"/>
              </w:rPr>
              <w:t>El Gobierno Nacional tendrá un plazo de seis (6) meses, contados a partir de la promulgación del presente Acto Legislativo, para formular, divulgar e implementar una política pública estricta e integral en torno a la prevención y atención del consumo de sustancias psicoactivas, haciendo énfasis en la prevención del consumo pasivo o secundario por parte de los niños, niñas y adolescentes. Dicha política deberá estar acompañada con una estrategia educativa nacional integral que tenga como objetivo la prevención del consumo de dichas sustancias.</w:t>
            </w:r>
            <w:r w:rsidRPr="00043C11">
              <w:rPr>
                <w:rFonts w:ascii="Bookman Old Style" w:hAnsi="Bookman Old Style" w:cs="Arial"/>
                <w:bCs/>
                <w:sz w:val="22"/>
                <w:szCs w:val="22"/>
              </w:rPr>
              <w:t xml:space="preserve"> </w:t>
            </w:r>
          </w:p>
          <w:p w:rsidR="00BA4030" w:rsidRPr="00AB6878" w:rsidRDefault="00D3444C" w:rsidP="00AB6878">
            <w:pPr>
              <w:pStyle w:val="NormalWeb"/>
              <w:spacing w:line="270" w:lineRule="atLeast"/>
              <w:jc w:val="both"/>
              <w:rPr>
                <w:rFonts w:ascii="Bookman Old Style" w:hAnsi="Bookman Old Style" w:cs="Arial"/>
                <w:bCs/>
                <w:sz w:val="22"/>
                <w:szCs w:val="22"/>
              </w:rPr>
            </w:pPr>
            <w:r w:rsidRPr="00014699">
              <w:rPr>
                <w:rFonts w:ascii="Bookman Old Style" w:hAnsi="Bookman Old Style" w:cs="Arial"/>
                <w:sz w:val="22"/>
                <w:szCs w:val="22"/>
              </w:rPr>
              <w:t>PARÁGRAFO.</w:t>
            </w:r>
            <w:r w:rsidRPr="00043C11">
              <w:rPr>
                <w:rFonts w:ascii="Bookman Old Style" w:hAnsi="Bookman Old Style" w:cs="Arial"/>
                <w:sz w:val="22"/>
                <w:szCs w:val="22"/>
              </w:rPr>
              <w:t xml:space="preserve"> Tratándose de grupos étnicos,</w:t>
            </w:r>
            <w:r w:rsidRPr="00F56CEA">
              <w:rPr>
                <w:rFonts w:ascii="Bookman Old Style" w:hAnsi="Bookman Old Style" w:cs="Arial"/>
                <w:sz w:val="22"/>
                <w:szCs w:val="22"/>
              </w:rPr>
              <w:t xml:space="preserve"> el Gobierno Nacional deberá agotar la consulta previa, para emitir un decreto para </w:t>
            </w:r>
            <w:r>
              <w:rPr>
                <w:rFonts w:ascii="Bookman Old Style" w:hAnsi="Bookman Old Style" w:cs="Arial"/>
                <w:sz w:val="22"/>
                <w:szCs w:val="22"/>
              </w:rPr>
              <w:t>la reglamentación de la materia</w:t>
            </w:r>
            <w:r w:rsidRPr="00F56CEA">
              <w:rPr>
                <w:rFonts w:ascii="Bookman Old Style" w:hAnsi="Bookman Old Style" w:cs="Arial"/>
                <w:sz w:val="22"/>
                <w:szCs w:val="22"/>
              </w:rPr>
              <w:t xml:space="preserve"> y garantizará la interculturalidad como elemento esencial del </w:t>
            </w:r>
            <w:r w:rsidRPr="00F56CEA">
              <w:rPr>
                <w:rFonts w:ascii="Bookman Old Style" w:hAnsi="Bookman Old Style" w:cs="Arial"/>
                <w:sz w:val="22"/>
                <w:szCs w:val="22"/>
              </w:rPr>
              <w:lastRenderedPageBreak/>
              <w:t xml:space="preserve">derecho fundamental a la salud para el fortalecimiento efectivo de los saberes, prácticas culturales, formas tradicionales y complementarias afines a la diversidad étnica. </w:t>
            </w:r>
          </w:p>
        </w:tc>
        <w:tc>
          <w:tcPr>
            <w:tcW w:w="3899" w:type="dxa"/>
          </w:tcPr>
          <w:p w:rsidR="00BA4030" w:rsidRPr="00904D67" w:rsidRDefault="00D3444C" w:rsidP="00AB6878">
            <w:pPr>
              <w:pStyle w:val="NormalWeb"/>
              <w:spacing w:line="270" w:lineRule="atLeast"/>
              <w:jc w:val="both"/>
              <w:rPr>
                <w:rFonts w:ascii="Bookman Old Style" w:hAnsi="Bookman Old Style" w:cs="Arial"/>
                <w:b/>
                <w:sz w:val="22"/>
                <w:szCs w:val="22"/>
              </w:rPr>
            </w:pPr>
            <w:r w:rsidRPr="00904D67">
              <w:rPr>
                <w:rFonts w:ascii="Bookman Old Style" w:hAnsi="Bookman Old Style" w:cs="Arial"/>
                <w:b/>
                <w:sz w:val="22"/>
                <w:szCs w:val="22"/>
              </w:rPr>
              <w:lastRenderedPageBreak/>
              <w:t>Se mantiene igual</w:t>
            </w:r>
          </w:p>
        </w:tc>
        <w:tc>
          <w:tcPr>
            <w:tcW w:w="2835" w:type="dxa"/>
          </w:tcPr>
          <w:p w:rsidR="00BA4030" w:rsidRPr="00A52972" w:rsidRDefault="00BA4030" w:rsidP="009D0EA6">
            <w:pPr>
              <w:pStyle w:val="NormalWeb"/>
              <w:spacing w:line="270" w:lineRule="atLeast"/>
              <w:jc w:val="both"/>
              <w:rPr>
                <w:rFonts w:ascii="Bookman Old Style" w:hAnsi="Bookman Old Style" w:cs="Arial"/>
                <w:bCs/>
                <w:sz w:val="22"/>
                <w:szCs w:val="22"/>
              </w:rPr>
            </w:pPr>
          </w:p>
        </w:tc>
      </w:tr>
      <w:tr w:rsidR="00BA4030" w:rsidTr="006E318D">
        <w:trPr>
          <w:trHeight w:val="255"/>
        </w:trPr>
        <w:tc>
          <w:tcPr>
            <w:tcW w:w="3898" w:type="dxa"/>
          </w:tcPr>
          <w:p w:rsidR="00BA4030" w:rsidRDefault="00D3444C" w:rsidP="001855F4">
            <w:pPr>
              <w:jc w:val="both"/>
              <w:rPr>
                <w:rFonts w:ascii="Bookman Old Style" w:eastAsia="Calibri" w:hAnsi="Bookman Old Style" w:cs="Arial"/>
                <w:bCs/>
              </w:rPr>
            </w:pPr>
            <w:r>
              <w:rPr>
                <w:rFonts w:ascii="Bookman Old Style" w:hAnsi="Bookman Old Style" w:cs="Arial"/>
                <w:b/>
                <w:bCs/>
              </w:rPr>
              <w:lastRenderedPageBreak/>
              <w:t>ARTÍCULO 3</w:t>
            </w:r>
            <w:r w:rsidR="00BA4030" w:rsidRPr="00D91748">
              <w:rPr>
                <w:rFonts w:ascii="Bookman Old Style" w:hAnsi="Bookman Old Style" w:cs="Arial"/>
                <w:b/>
                <w:bCs/>
              </w:rPr>
              <w:t>°.</w:t>
            </w:r>
            <w:r w:rsidR="00BA4030" w:rsidRPr="00D91748">
              <w:rPr>
                <w:rFonts w:ascii="Bookman Old Style" w:eastAsia="Calibri" w:hAnsi="Bookman Old Style" w:cs="Arial"/>
                <w:bCs/>
              </w:rPr>
              <w:t xml:space="preserve"> Modifíquese el artículo 287 de la Constitución Política, el cual quedará así:</w:t>
            </w:r>
          </w:p>
          <w:p w:rsidR="00BA4030" w:rsidRPr="00D91748" w:rsidRDefault="00BA4030" w:rsidP="001855F4">
            <w:pPr>
              <w:jc w:val="both"/>
              <w:rPr>
                <w:rFonts w:ascii="Bookman Old Style" w:eastAsia="Calibri" w:hAnsi="Bookman Old Style" w:cs="Arial"/>
                <w:bCs/>
              </w:rPr>
            </w:pPr>
          </w:p>
          <w:p w:rsidR="00BA4030" w:rsidRPr="00D91748" w:rsidRDefault="00BA4030" w:rsidP="001855F4">
            <w:pPr>
              <w:ind w:left="708"/>
              <w:jc w:val="both"/>
              <w:rPr>
                <w:rFonts w:ascii="Bookman Old Style" w:eastAsia="Calibri" w:hAnsi="Bookman Old Style" w:cs="Arial"/>
                <w:bCs/>
              </w:rPr>
            </w:pPr>
            <w:r w:rsidRPr="00D91748">
              <w:rPr>
                <w:rFonts w:ascii="Bookman Old Style" w:eastAsia="Calibri" w:hAnsi="Bookman Old Style" w:cs="Arial"/>
                <w:bCs/>
              </w:rPr>
              <w:t>Artículo 287. Las entidades territoriales gozan de autonomía para la gestión de sus intereses, y dentro de los límites de la Constitución y la ley. En tal virtud tendrán los siguientes derechos:</w:t>
            </w:r>
          </w:p>
          <w:p w:rsidR="00BA4030" w:rsidRPr="00D91748" w:rsidRDefault="00BA4030" w:rsidP="001855F4">
            <w:pPr>
              <w:ind w:left="708"/>
              <w:jc w:val="both"/>
              <w:rPr>
                <w:rFonts w:ascii="Bookman Old Style" w:eastAsia="Calibri" w:hAnsi="Bookman Old Style" w:cs="Arial"/>
                <w:bCs/>
              </w:rPr>
            </w:pPr>
          </w:p>
          <w:p w:rsidR="00BA4030" w:rsidRPr="00D91748" w:rsidRDefault="00BA4030" w:rsidP="001855F4">
            <w:pPr>
              <w:ind w:left="708"/>
              <w:jc w:val="both"/>
              <w:rPr>
                <w:rFonts w:ascii="Bookman Old Style" w:eastAsia="Calibri" w:hAnsi="Bookman Old Style" w:cs="Arial"/>
                <w:bCs/>
              </w:rPr>
            </w:pPr>
            <w:r w:rsidRPr="00D91748">
              <w:rPr>
                <w:rFonts w:ascii="Bookman Old Style" w:eastAsia="Calibri" w:hAnsi="Bookman Old Style" w:cs="Arial"/>
                <w:bCs/>
              </w:rPr>
              <w:t>1. Gobernarse por autoridades propias.</w:t>
            </w:r>
          </w:p>
          <w:p w:rsidR="00BA4030" w:rsidRPr="00D91748" w:rsidRDefault="00BA4030" w:rsidP="001855F4">
            <w:pPr>
              <w:ind w:left="708"/>
              <w:jc w:val="both"/>
              <w:rPr>
                <w:rFonts w:ascii="Bookman Old Style" w:eastAsia="Calibri" w:hAnsi="Bookman Old Style" w:cs="Arial"/>
                <w:bCs/>
              </w:rPr>
            </w:pPr>
            <w:r w:rsidRPr="00D91748">
              <w:rPr>
                <w:rFonts w:ascii="Bookman Old Style" w:eastAsia="Calibri" w:hAnsi="Bookman Old Style" w:cs="Arial"/>
                <w:bCs/>
              </w:rPr>
              <w:t>2. Ejercer las competencias que les correspondan.</w:t>
            </w:r>
          </w:p>
          <w:p w:rsidR="00BA4030" w:rsidRPr="00D91748" w:rsidRDefault="00BA4030" w:rsidP="001855F4">
            <w:pPr>
              <w:ind w:left="708"/>
              <w:jc w:val="both"/>
              <w:rPr>
                <w:rFonts w:ascii="Bookman Old Style" w:eastAsia="Calibri" w:hAnsi="Bookman Old Style" w:cs="Arial"/>
                <w:bCs/>
              </w:rPr>
            </w:pPr>
            <w:r w:rsidRPr="00D91748">
              <w:rPr>
                <w:rFonts w:ascii="Bookman Old Style" w:eastAsia="Calibri" w:hAnsi="Bookman Old Style" w:cs="Arial"/>
                <w:bCs/>
              </w:rPr>
              <w:t>3. Administrar los recursos y establecer los tributos necesarios para el cumplimiento de sus funciones.</w:t>
            </w:r>
          </w:p>
          <w:p w:rsidR="00BA4030" w:rsidRDefault="00BA4030" w:rsidP="001855F4">
            <w:pPr>
              <w:ind w:left="708"/>
              <w:jc w:val="both"/>
              <w:rPr>
                <w:rFonts w:ascii="Bookman Old Style" w:eastAsia="Calibri" w:hAnsi="Bookman Old Style" w:cs="Arial"/>
                <w:bCs/>
              </w:rPr>
            </w:pPr>
            <w:r w:rsidRPr="00D91748">
              <w:rPr>
                <w:rFonts w:ascii="Bookman Old Style" w:eastAsia="Calibri" w:hAnsi="Bookman Old Style" w:cs="Arial"/>
                <w:bCs/>
              </w:rPr>
              <w:t>4. Participar en las rentas nacionales.</w:t>
            </w:r>
          </w:p>
          <w:p w:rsidR="00BA4030" w:rsidRPr="00D3444C" w:rsidRDefault="00D3444C" w:rsidP="00D3444C">
            <w:pPr>
              <w:pStyle w:val="NormalWeb"/>
              <w:spacing w:line="270" w:lineRule="atLeast"/>
              <w:ind w:left="708"/>
              <w:jc w:val="both"/>
              <w:rPr>
                <w:rFonts w:ascii="Bookman Old Style" w:hAnsi="Bookman Old Style" w:cs="Arial"/>
                <w:b/>
                <w:bCs/>
                <w:sz w:val="22"/>
                <w:szCs w:val="22"/>
              </w:rPr>
            </w:pPr>
            <w:r w:rsidRPr="006D714A">
              <w:rPr>
                <w:rFonts w:ascii="Bookman Old Style" w:eastAsia="Calibri" w:hAnsi="Bookman Old Style" w:cs="Arial"/>
                <w:bCs/>
                <w:sz w:val="22"/>
                <w:szCs w:val="22"/>
              </w:rPr>
              <w:t xml:space="preserve">5. Establecer, recaudar y administrar tributos a favor </w:t>
            </w:r>
            <w:r>
              <w:rPr>
                <w:rFonts w:ascii="Bookman Old Style" w:eastAsia="Calibri" w:hAnsi="Bookman Old Style" w:cs="Arial"/>
                <w:bCs/>
                <w:sz w:val="22"/>
                <w:szCs w:val="22"/>
              </w:rPr>
              <w:t xml:space="preserve">del respectivo orden municipal o </w:t>
            </w:r>
            <w:r w:rsidRPr="006D714A">
              <w:rPr>
                <w:rFonts w:ascii="Bookman Old Style" w:eastAsia="Calibri" w:hAnsi="Bookman Old Style" w:cs="Arial"/>
                <w:bCs/>
                <w:sz w:val="22"/>
                <w:szCs w:val="22"/>
              </w:rPr>
              <w:t>distrital, por las distintas actividades relativas a la distribución o venta de cannabis para uso de adultos, de acuerdo a la ley.</w:t>
            </w:r>
            <w:r>
              <w:rPr>
                <w:rFonts w:ascii="Bookman Old Style" w:eastAsia="Calibri" w:hAnsi="Bookman Old Style" w:cs="Arial"/>
                <w:bCs/>
                <w:sz w:val="22"/>
                <w:szCs w:val="22"/>
              </w:rPr>
              <w:t xml:space="preserve"> Los tributos tendrán como destinación los sistemas de salud y educación.</w:t>
            </w:r>
          </w:p>
        </w:tc>
        <w:tc>
          <w:tcPr>
            <w:tcW w:w="3899" w:type="dxa"/>
          </w:tcPr>
          <w:p w:rsidR="00BA4030" w:rsidRPr="006D714A" w:rsidRDefault="00BA4030" w:rsidP="009D0EA6">
            <w:pPr>
              <w:pStyle w:val="NormalWeb"/>
              <w:spacing w:line="270" w:lineRule="atLeast"/>
              <w:jc w:val="both"/>
              <w:rPr>
                <w:rFonts w:ascii="Bookman Old Style" w:hAnsi="Bookman Old Style" w:cs="Arial"/>
                <w:b/>
                <w:bCs/>
                <w:sz w:val="22"/>
                <w:szCs w:val="22"/>
              </w:rPr>
            </w:pPr>
            <w:r>
              <w:rPr>
                <w:rFonts w:ascii="Bookman Old Style" w:hAnsi="Bookman Old Style" w:cs="Arial"/>
                <w:b/>
                <w:bCs/>
                <w:sz w:val="22"/>
                <w:szCs w:val="22"/>
              </w:rPr>
              <w:t>Se mantiene igual</w:t>
            </w:r>
            <w:r w:rsidR="00A52972">
              <w:rPr>
                <w:rFonts w:ascii="Bookman Old Style" w:hAnsi="Bookman Old Style" w:cs="Arial"/>
                <w:b/>
                <w:bCs/>
                <w:sz w:val="22"/>
                <w:szCs w:val="22"/>
              </w:rPr>
              <w:t xml:space="preserve"> </w:t>
            </w:r>
          </w:p>
          <w:p w:rsidR="00BA4030" w:rsidRPr="00744F10" w:rsidRDefault="00BA4030" w:rsidP="007E2A01">
            <w:pPr>
              <w:jc w:val="center"/>
              <w:rPr>
                <w:rFonts w:ascii="Bookman Old Style" w:eastAsia="Calibri" w:hAnsi="Bookman Old Style"/>
                <w:b/>
              </w:rPr>
            </w:pPr>
          </w:p>
        </w:tc>
        <w:tc>
          <w:tcPr>
            <w:tcW w:w="2835" w:type="dxa"/>
          </w:tcPr>
          <w:p w:rsidR="00BA4030" w:rsidRDefault="00BA4030" w:rsidP="009D0EA6">
            <w:pPr>
              <w:pStyle w:val="NormalWeb"/>
              <w:spacing w:line="270" w:lineRule="atLeast"/>
              <w:jc w:val="both"/>
              <w:rPr>
                <w:rFonts w:ascii="Bookman Old Style" w:hAnsi="Bookman Old Style" w:cs="Arial"/>
                <w:b/>
                <w:bCs/>
                <w:sz w:val="22"/>
                <w:szCs w:val="22"/>
              </w:rPr>
            </w:pPr>
          </w:p>
        </w:tc>
      </w:tr>
      <w:tr w:rsidR="00BA4030" w:rsidTr="006E318D">
        <w:trPr>
          <w:trHeight w:val="2329"/>
        </w:trPr>
        <w:tc>
          <w:tcPr>
            <w:tcW w:w="3898" w:type="dxa"/>
          </w:tcPr>
          <w:p w:rsidR="00BA4030" w:rsidRPr="00D91748" w:rsidRDefault="00D3444C" w:rsidP="001855F4">
            <w:pPr>
              <w:pStyle w:val="NormalWeb"/>
              <w:spacing w:line="270" w:lineRule="atLeast"/>
              <w:jc w:val="both"/>
              <w:rPr>
                <w:rFonts w:ascii="Bookman Old Style" w:eastAsia="Calibri" w:hAnsi="Bookman Old Style" w:cs="Arial"/>
                <w:bCs/>
                <w:sz w:val="22"/>
                <w:szCs w:val="22"/>
              </w:rPr>
            </w:pPr>
            <w:r>
              <w:rPr>
                <w:rFonts w:ascii="Bookman Old Style" w:hAnsi="Bookman Old Style" w:cs="Arial"/>
                <w:b/>
                <w:bCs/>
                <w:sz w:val="22"/>
                <w:szCs w:val="22"/>
              </w:rPr>
              <w:lastRenderedPageBreak/>
              <w:t>ARTÍCULO 4</w:t>
            </w:r>
            <w:r w:rsidR="00BA4030" w:rsidRPr="00D91748">
              <w:rPr>
                <w:rFonts w:ascii="Bookman Old Style" w:hAnsi="Bookman Old Style" w:cs="Arial"/>
                <w:b/>
                <w:bCs/>
                <w:sz w:val="22"/>
                <w:szCs w:val="22"/>
              </w:rPr>
              <w:t xml:space="preserve">. </w:t>
            </w:r>
            <w:r w:rsidR="00BA4030" w:rsidRPr="00D91748">
              <w:rPr>
                <w:rFonts w:ascii="Bookman Old Style" w:eastAsia="Calibri" w:hAnsi="Bookman Old Style" w:cs="Arial"/>
                <w:bCs/>
                <w:sz w:val="22"/>
                <w:szCs w:val="22"/>
              </w:rPr>
              <w:t>Modifíquese el artículo 317 de la Constitución Política, el cual quedará así:</w:t>
            </w:r>
          </w:p>
          <w:p w:rsidR="00BA4030" w:rsidRPr="00D91748" w:rsidRDefault="00BA4030" w:rsidP="001855F4">
            <w:pPr>
              <w:pStyle w:val="NormalWeb"/>
              <w:spacing w:line="270" w:lineRule="atLeast"/>
              <w:ind w:left="708"/>
              <w:jc w:val="both"/>
              <w:rPr>
                <w:rFonts w:ascii="Bookman Old Style" w:hAnsi="Bookman Old Style" w:cs="Arial"/>
                <w:sz w:val="22"/>
                <w:szCs w:val="22"/>
              </w:rPr>
            </w:pPr>
            <w:r w:rsidRPr="00D91748">
              <w:rPr>
                <w:rFonts w:ascii="Bookman Old Style" w:hAnsi="Bookman Old Style" w:cs="Arial"/>
                <w:b/>
                <w:bCs/>
                <w:sz w:val="22"/>
                <w:szCs w:val="22"/>
              </w:rPr>
              <w:t>Artículo 317.</w:t>
            </w:r>
            <w:r w:rsidRPr="00D91748">
              <w:rPr>
                <w:rFonts w:ascii="Bookman Old Style" w:hAnsi="Bookman Old Style" w:cs="Arial"/>
                <w:sz w:val="22"/>
                <w:szCs w:val="22"/>
              </w:rPr>
              <w:t xml:space="preserve"> Solo los municipios podrán gravar la propiedad inmueble. Lo anterior no obsta para que otras entidades impongan contribución de valorización. </w:t>
            </w:r>
          </w:p>
          <w:p w:rsidR="00BA4030" w:rsidRPr="00D91748" w:rsidRDefault="00BA4030" w:rsidP="001855F4">
            <w:pPr>
              <w:pStyle w:val="NormalWeb"/>
              <w:spacing w:line="270" w:lineRule="atLeast"/>
              <w:ind w:left="708"/>
              <w:jc w:val="both"/>
              <w:rPr>
                <w:rFonts w:ascii="Bookman Old Style" w:hAnsi="Bookman Old Style" w:cs="Arial"/>
                <w:sz w:val="22"/>
                <w:szCs w:val="22"/>
              </w:rPr>
            </w:pPr>
            <w:r w:rsidRPr="00D91748">
              <w:rPr>
                <w:rFonts w:ascii="Bookman Old Style" w:hAnsi="Bookman Old Style" w:cs="Arial"/>
                <w:sz w:val="22"/>
                <w:szCs w:val="22"/>
              </w:rPr>
              <w:t>La ley destinará un porcentaje de estos tributos, que no podrá exceder del promedio de las sobretasas existentes, a las entidades encargadas del manejo y conservación del ambiente y de los recursos naturales renovables, de acuerdo con los planes de desarrollo de los municipios del área de su jurisdicción.</w:t>
            </w:r>
          </w:p>
          <w:p w:rsidR="00BA4030" w:rsidRDefault="00BA4030" w:rsidP="001855F4">
            <w:pPr>
              <w:ind w:left="708"/>
              <w:jc w:val="both"/>
              <w:rPr>
                <w:rFonts w:ascii="Bookman Old Style" w:hAnsi="Bookman Old Style" w:cs="Arial"/>
              </w:rPr>
            </w:pPr>
            <w:r w:rsidRPr="00D91748">
              <w:rPr>
                <w:rFonts w:ascii="Bookman Old Style" w:hAnsi="Bookman Old Style" w:cs="Arial"/>
              </w:rPr>
              <w:t>La ley regulará los impuestos que decreten los municipios y distritos a su favor, previa aprobación de los concejos, por el uso de inmuebles en actividades relativas al cannabis de uso para adultos. Estos impuestos tendrán como destinación los sistemas de salud y educación, y el sector agricultura.</w:t>
            </w:r>
          </w:p>
          <w:p w:rsidR="00BA4030" w:rsidRPr="00744F10" w:rsidRDefault="00BA4030" w:rsidP="007E2A01">
            <w:pPr>
              <w:jc w:val="both"/>
              <w:rPr>
                <w:rFonts w:ascii="Bookman Old Style" w:eastAsia="Calibri" w:hAnsi="Bookman Old Style"/>
                <w:bCs/>
              </w:rPr>
            </w:pPr>
          </w:p>
        </w:tc>
        <w:tc>
          <w:tcPr>
            <w:tcW w:w="3899" w:type="dxa"/>
          </w:tcPr>
          <w:p w:rsidR="00A52972" w:rsidRPr="006D714A" w:rsidRDefault="00D3444C" w:rsidP="00A52972">
            <w:pPr>
              <w:pStyle w:val="NormalWeb"/>
              <w:spacing w:line="270" w:lineRule="atLeast"/>
              <w:jc w:val="both"/>
              <w:rPr>
                <w:rFonts w:ascii="Bookman Old Style" w:hAnsi="Bookman Old Style" w:cs="Arial"/>
                <w:b/>
                <w:bCs/>
                <w:sz w:val="22"/>
                <w:szCs w:val="22"/>
              </w:rPr>
            </w:pPr>
            <w:r>
              <w:rPr>
                <w:rFonts w:ascii="Bookman Old Style" w:hAnsi="Bookman Old Style" w:cs="Arial"/>
                <w:b/>
                <w:bCs/>
                <w:sz w:val="22"/>
                <w:szCs w:val="22"/>
              </w:rPr>
              <w:t>Se mantiene igual</w:t>
            </w:r>
          </w:p>
          <w:p w:rsidR="00BA4030" w:rsidRPr="00BA4030" w:rsidRDefault="00BA4030" w:rsidP="009D0EA6">
            <w:pPr>
              <w:jc w:val="both"/>
              <w:rPr>
                <w:rFonts w:ascii="Bookman Old Style" w:hAnsi="Bookman Old Style" w:cs="Arial"/>
                <w:b/>
              </w:rPr>
            </w:pPr>
          </w:p>
          <w:p w:rsidR="00BA4030" w:rsidRDefault="00BA4030" w:rsidP="007E2A01">
            <w:pPr>
              <w:jc w:val="both"/>
              <w:rPr>
                <w:rFonts w:ascii="Bookman Old Style" w:eastAsia="Calibri" w:hAnsi="Bookman Old Style"/>
                <w:b/>
              </w:rPr>
            </w:pPr>
          </w:p>
        </w:tc>
        <w:tc>
          <w:tcPr>
            <w:tcW w:w="2835" w:type="dxa"/>
          </w:tcPr>
          <w:p w:rsidR="00BA4030" w:rsidRPr="00BA4030" w:rsidRDefault="00BA4030" w:rsidP="009D0EA6">
            <w:pPr>
              <w:jc w:val="both"/>
              <w:rPr>
                <w:rFonts w:ascii="Bookman Old Style" w:hAnsi="Bookman Old Style" w:cs="Arial"/>
                <w:b/>
              </w:rPr>
            </w:pPr>
          </w:p>
        </w:tc>
      </w:tr>
      <w:tr w:rsidR="00BA4030" w:rsidTr="006E318D">
        <w:trPr>
          <w:trHeight w:val="2874"/>
        </w:trPr>
        <w:tc>
          <w:tcPr>
            <w:tcW w:w="3898" w:type="dxa"/>
          </w:tcPr>
          <w:p w:rsidR="00BA4030" w:rsidRPr="00D91748" w:rsidRDefault="00D3444C" w:rsidP="001855F4">
            <w:pPr>
              <w:jc w:val="both"/>
              <w:rPr>
                <w:rFonts w:ascii="Bookman Old Style" w:hAnsi="Bookman Old Style" w:cs="Arial"/>
                <w:b/>
                <w:bCs/>
              </w:rPr>
            </w:pPr>
            <w:r>
              <w:rPr>
                <w:rFonts w:ascii="Bookman Old Style" w:hAnsi="Bookman Old Style" w:cs="Arial"/>
                <w:b/>
                <w:bCs/>
              </w:rPr>
              <w:lastRenderedPageBreak/>
              <w:t>ARTÍCULO 5</w:t>
            </w:r>
            <w:r w:rsidR="00BA4030" w:rsidRPr="00D91748">
              <w:rPr>
                <w:rFonts w:ascii="Bookman Old Style" w:hAnsi="Bookman Old Style" w:cs="Arial"/>
                <w:b/>
                <w:bCs/>
              </w:rPr>
              <w:t xml:space="preserve">. TRANSITORIO. </w:t>
            </w:r>
          </w:p>
          <w:p w:rsidR="00D3444C" w:rsidRDefault="00D3444C" w:rsidP="00D3444C">
            <w:pPr>
              <w:jc w:val="both"/>
              <w:rPr>
                <w:rFonts w:ascii="Bookman Old Style" w:hAnsi="Bookman Old Style" w:cs="Arial"/>
              </w:rPr>
            </w:pPr>
            <w:r w:rsidRPr="006D714A">
              <w:rPr>
                <w:rFonts w:ascii="Bookman Old Style" w:hAnsi="Bookman Old Style" w:cs="Arial"/>
              </w:rPr>
              <w:t>El Congreso de la</w:t>
            </w:r>
            <w:r w:rsidRPr="006D714A">
              <w:rPr>
                <w:rFonts w:ascii="Bookman Old Style" w:hAnsi="Bookman Old Style" w:cs="Arial"/>
                <w:b/>
                <w:bCs/>
              </w:rPr>
              <w:t xml:space="preserve"> </w:t>
            </w:r>
            <w:r w:rsidRPr="006D714A">
              <w:rPr>
                <w:rFonts w:ascii="Bookman Old Style" w:hAnsi="Bookman Old Style" w:cs="Arial"/>
              </w:rPr>
              <w:t>Repúblic</w:t>
            </w:r>
            <w:r>
              <w:rPr>
                <w:rFonts w:ascii="Bookman Old Style" w:hAnsi="Bookman Old Style" w:cs="Arial"/>
              </w:rPr>
              <w:t>a expedirá la ley que reglamente y autorice</w:t>
            </w:r>
            <w:r w:rsidRPr="006D714A">
              <w:rPr>
                <w:rFonts w:ascii="Bookman Old Style" w:hAnsi="Bookman Old Style" w:cs="Arial"/>
              </w:rPr>
              <w:t xml:space="preserve"> a las entidades territoriales la imposición de los tributos señalados en el presente Acto Legislativo, dentro de los doce (12) meses siguientes a su entrada en vigencia.</w:t>
            </w:r>
          </w:p>
          <w:p w:rsidR="00BA4030" w:rsidRPr="00D91748" w:rsidRDefault="00BA4030" w:rsidP="001855F4">
            <w:pPr>
              <w:jc w:val="both"/>
              <w:rPr>
                <w:rFonts w:ascii="Bookman Old Style" w:hAnsi="Bookman Old Style" w:cs="Arial"/>
              </w:rPr>
            </w:pPr>
          </w:p>
          <w:p w:rsidR="00BA4030" w:rsidRPr="00744F10" w:rsidRDefault="00BA4030" w:rsidP="007E2A01">
            <w:pPr>
              <w:jc w:val="both"/>
              <w:rPr>
                <w:rFonts w:ascii="Bookman Old Style" w:eastAsia="Calibri" w:hAnsi="Bookman Old Style"/>
                <w:bCs/>
              </w:rPr>
            </w:pPr>
          </w:p>
        </w:tc>
        <w:tc>
          <w:tcPr>
            <w:tcW w:w="3899" w:type="dxa"/>
          </w:tcPr>
          <w:p w:rsidR="00BA4030" w:rsidRPr="006D714A" w:rsidRDefault="00D3444C" w:rsidP="009D0EA6">
            <w:pPr>
              <w:jc w:val="both"/>
              <w:rPr>
                <w:rFonts w:ascii="Bookman Old Style" w:hAnsi="Bookman Old Style" w:cs="Arial"/>
              </w:rPr>
            </w:pPr>
            <w:r>
              <w:rPr>
                <w:rFonts w:ascii="Bookman Old Style" w:hAnsi="Bookman Old Style" w:cs="Arial"/>
                <w:b/>
                <w:bCs/>
              </w:rPr>
              <w:t>Se mantiene igual</w:t>
            </w:r>
          </w:p>
          <w:p w:rsidR="00BA4030" w:rsidRDefault="00BA4030" w:rsidP="007E2A01">
            <w:pPr>
              <w:jc w:val="both"/>
              <w:rPr>
                <w:rFonts w:ascii="Bookman Old Style" w:eastAsia="Calibri" w:hAnsi="Bookman Old Style"/>
                <w:b/>
              </w:rPr>
            </w:pPr>
          </w:p>
        </w:tc>
        <w:tc>
          <w:tcPr>
            <w:tcW w:w="2835" w:type="dxa"/>
          </w:tcPr>
          <w:p w:rsidR="00BA4030" w:rsidRPr="00F56CEA" w:rsidRDefault="00BA4030" w:rsidP="009D0EA6">
            <w:pPr>
              <w:jc w:val="both"/>
              <w:rPr>
                <w:rFonts w:ascii="Bookman Old Style" w:hAnsi="Bookman Old Style" w:cs="Arial"/>
                <w:b/>
                <w:bCs/>
                <w:u w:val="single"/>
              </w:rPr>
            </w:pPr>
          </w:p>
        </w:tc>
      </w:tr>
      <w:tr w:rsidR="00D3444C" w:rsidTr="006E318D">
        <w:trPr>
          <w:trHeight w:val="1755"/>
        </w:trPr>
        <w:tc>
          <w:tcPr>
            <w:tcW w:w="3898" w:type="dxa"/>
          </w:tcPr>
          <w:p w:rsidR="00D3444C" w:rsidRPr="00AB6878" w:rsidRDefault="00D3444C" w:rsidP="00D3444C">
            <w:pPr>
              <w:jc w:val="both"/>
              <w:rPr>
                <w:rFonts w:ascii="Bookman Old Style" w:hAnsi="Bookman Old Style" w:cs="Arial"/>
              </w:rPr>
            </w:pPr>
            <w:r w:rsidRPr="00D91748">
              <w:rPr>
                <w:rFonts w:ascii="Bookman Old Style" w:hAnsi="Bookman Old Style" w:cs="Arial"/>
                <w:b/>
                <w:bCs/>
              </w:rPr>
              <w:t>ARTÍCULO 7°. VIGENCIA.</w:t>
            </w:r>
            <w:r w:rsidRPr="00D91748">
              <w:rPr>
                <w:rFonts w:ascii="Bookman Old Style" w:hAnsi="Bookman Old Style" w:cs="Arial"/>
              </w:rPr>
              <w:t> </w:t>
            </w:r>
            <w:r w:rsidRPr="006D714A">
              <w:rPr>
                <w:rFonts w:ascii="Bookman Old Style" w:hAnsi="Bookman Old Style" w:cs="Arial"/>
              </w:rPr>
              <w:t>El presente Acto Legislativo rige a partir de su promulgación. El artículo 1 entrará en vigencia seis (6) meses después de la promulgación de este acto legislativo.</w:t>
            </w:r>
          </w:p>
        </w:tc>
        <w:tc>
          <w:tcPr>
            <w:tcW w:w="3899" w:type="dxa"/>
          </w:tcPr>
          <w:p w:rsidR="00D3444C" w:rsidRPr="00AB6878" w:rsidRDefault="00D3444C" w:rsidP="00D3444C">
            <w:pPr>
              <w:jc w:val="both"/>
              <w:rPr>
                <w:rFonts w:ascii="Bookman Old Style" w:hAnsi="Bookman Old Style" w:cs="Arial"/>
              </w:rPr>
            </w:pPr>
            <w:r w:rsidRPr="00D91748">
              <w:rPr>
                <w:rFonts w:ascii="Bookman Old Style" w:hAnsi="Bookman Old Style" w:cs="Arial"/>
                <w:b/>
                <w:bCs/>
              </w:rPr>
              <w:t>ARTÍCULO 7°. VIGENCIA.</w:t>
            </w:r>
            <w:r w:rsidRPr="00D91748">
              <w:rPr>
                <w:rFonts w:ascii="Bookman Old Style" w:hAnsi="Bookman Old Style" w:cs="Arial"/>
              </w:rPr>
              <w:t> </w:t>
            </w:r>
            <w:r w:rsidRPr="006D714A">
              <w:rPr>
                <w:rFonts w:ascii="Bookman Old Style" w:hAnsi="Bookman Old Style" w:cs="Arial"/>
              </w:rPr>
              <w:t>El presente Acto Legislativo rige a partir de su promulgación. El artículo 1 entrará en vigencia seis (6) meses desp</w:t>
            </w:r>
            <w:r>
              <w:rPr>
                <w:rFonts w:ascii="Bookman Old Style" w:hAnsi="Bookman Old Style" w:cs="Arial"/>
              </w:rPr>
              <w:t xml:space="preserve">ués de la promulgación de este </w:t>
            </w:r>
            <w:r w:rsidRPr="00D3444C">
              <w:rPr>
                <w:rFonts w:ascii="Bookman Old Style" w:hAnsi="Bookman Old Style" w:cs="Arial"/>
                <w:b/>
                <w:u w:val="single"/>
              </w:rPr>
              <w:t>A</w:t>
            </w:r>
            <w:r>
              <w:rPr>
                <w:rFonts w:ascii="Bookman Old Style" w:hAnsi="Bookman Old Style" w:cs="Arial"/>
              </w:rPr>
              <w:t xml:space="preserve">cto </w:t>
            </w:r>
            <w:r w:rsidRPr="00D3444C">
              <w:rPr>
                <w:rFonts w:ascii="Bookman Old Style" w:hAnsi="Bookman Old Style" w:cs="Arial"/>
                <w:b/>
              </w:rPr>
              <w:t>L</w:t>
            </w:r>
            <w:r w:rsidRPr="006D714A">
              <w:rPr>
                <w:rFonts w:ascii="Bookman Old Style" w:hAnsi="Bookman Old Style" w:cs="Arial"/>
              </w:rPr>
              <w:t>egislativo.</w:t>
            </w:r>
          </w:p>
        </w:tc>
        <w:tc>
          <w:tcPr>
            <w:tcW w:w="2835" w:type="dxa"/>
          </w:tcPr>
          <w:p w:rsidR="00D3444C" w:rsidRDefault="00D3444C" w:rsidP="00D3444C">
            <w:pPr>
              <w:jc w:val="both"/>
              <w:rPr>
                <w:rFonts w:ascii="Bookman Old Style" w:hAnsi="Bookman Old Style" w:cs="Arial"/>
                <w:b/>
                <w:bCs/>
                <w:u w:val="single"/>
              </w:rPr>
            </w:pPr>
            <w:r>
              <w:rPr>
                <w:rFonts w:ascii="Bookman Old Style" w:hAnsi="Bookman Old Style" w:cs="Arial"/>
                <w:b/>
                <w:bCs/>
                <w:u w:val="single"/>
              </w:rPr>
              <w:t xml:space="preserve">Se ajustan las mayúsculas. </w:t>
            </w:r>
          </w:p>
        </w:tc>
      </w:tr>
    </w:tbl>
    <w:p w:rsidR="007E2A01" w:rsidRPr="00B81512" w:rsidRDefault="007E2A01" w:rsidP="007E2A01">
      <w:pPr>
        <w:jc w:val="center"/>
        <w:rPr>
          <w:rFonts w:ascii="Bookman Old Style" w:eastAsia="Calibri" w:hAnsi="Bookman Old Style"/>
          <w:b/>
        </w:rPr>
      </w:pPr>
    </w:p>
    <w:p w:rsidR="007E2A01" w:rsidRDefault="007E2A01" w:rsidP="007E2A01">
      <w:pPr>
        <w:rPr>
          <w:rFonts w:eastAsia="Calibri"/>
        </w:rPr>
      </w:pPr>
    </w:p>
    <w:p w:rsidR="007E2A01" w:rsidRDefault="007E2A01" w:rsidP="007E2A01">
      <w:pPr>
        <w:rPr>
          <w:rFonts w:eastAsia="Calibri"/>
        </w:rPr>
      </w:pPr>
    </w:p>
    <w:p w:rsidR="006E318D" w:rsidRDefault="006E318D" w:rsidP="007E2A01">
      <w:pPr>
        <w:rPr>
          <w:rFonts w:eastAsia="Calibri"/>
        </w:rPr>
      </w:pPr>
    </w:p>
    <w:p w:rsidR="006E318D" w:rsidRDefault="006E318D" w:rsidP="007E2A01">
      <w:pPr>
        <w:rPr>
          <w:rFonts w:eastAsia="Calibri"/>
        </w:rPr>
      </w:pPr>
    </w:p>
    <w:p w:rsidR="006E318D" w:rsidRDefault="006E318D" w:rsidP="007E2A01">
      <w:pPr>
        <w:rPr>
          <w:rFonts w:eastAsia="Calibri"/>
        </w:rPr>
      </w:pPr>
    </w:p>
    <w:p w:rsidR="006E318D" w:rsidRDefault="006E318D" w:rsidP="007E2A01">
      <w:pPr>
        <w:rPr>
          <w:rFonts w:eastAsia="Calibri"/>
        </w:rPr>
      </w:pPr>
    </w:p>
    <w:p w:rsidR="006E318D" w:rsidRDefault="006E318D" w:rsidP="007E2A01">
      <w:pPr>
        <w:rPr>
          <w:rFonts w:eastAsia="Calibri"/>
        </w:rPr>
      </w:pPr>
    </w:p>
    <w:p w:rsidR="006E318D" w:rsidRDefault="006E318D" w:rsidP="007E2A01">
      <w:pPr>
        <w:rPr>
          <w:rFonts w:eastAsia="Calibri"/>
        </w:rPr>
      </w:pPr>
    </w:p>
    <w:p w:rsidR="006E318D" w:rsidRDefault="006E318D" w:rsidP="007E2A01">
      <w:pPr>
        <w:rPr>
          <w:rFonts w:eastAsia="Calibri"/>
        </w:rPr>
      </w:pPr>
    </w:p>
    <w:p w:rsidR="006E318D" w:rsidRDefault="006E318D" w:rsidP="007E2A01">
      <w:pPr>
        <w:rPr>
          <w:rFonts w:eastAsia="Calibri"/>
        </w:rPr>
      </w:pPr>
    </w:p>
    <w:p w:rsidR="006E318D" w:rsidRDefault="006E318D" w:rsidP="007E2A01">
      <w:pPr>
        <w:rPr>
          <w:rFonts w:eastAsia="Calibri"/>
        </w:rPr>
      </w:pPr>
    </w:p>
    <w:p w:rsidR="006E318D" w:rsidRDefault="006E318D" w:rsidP="007E2A01">
      <w:pPr>
        <w:rPr>
          <w:rFonts w:eastAsia="Calibri"/>
        </w:rPr>
      </w:pPr>
    </w:p>
    <w:p w:rsidR="006E318D" w:rsidRDefault="006E318D" w:rsidP="007E2A01">
      <w:pPr>
        <w:rPr>
          <w:rFonts w:eastAsia="Calibri"/>
        </w:rPr>
      </w:pPr>
    </w:p>
    <w:p w:rsidR="006E318D" w:rsidRDefault="006E318D" w:rsidP="007E2A01">
      <w:pPr>
        <w:rPr>
          <w:rFonts w:eastAsia="Calibri"/>
        </w:rPr>
      </w:pPr>
    </w:p>
    <w:p w:rsidR="006E318D" w:rsidRDefault="006E318D" w:rsidP="007E2A01">
      <w:pPr>
        <w:rPr>
          <w:rFonts w:eastAsia="Calibri"/>
        </w:rPr>
      </w:pPr>
    </w:p>
    <w:p w:rsidR="006E318D" w:rsidRDefault="006E318D" w:rsidP="007E2A01">
      <w:pPr>
        <w:rPr>
          <w:rFonts w:eastAsia="Calibri"/>
        </w:rPr>
      </w:pPr>
    </w:p>
    <w:p w:rsidR="006E318D" w:rsidRDefault="006E318D" w:rsidP="007E2A01">
      <w:pPr>
        <w:rPr>
          <w:rFonts w:eastAsia="Calibri"/>
        </w:rPr>
      </w:pPr>
    </w:p>
    <w:p w:rsidR="007E2A01" w:rsidRPr="001E18FE" w:rsidRDefault="007E2A01" w:rsidP="007E2A01">
      <w:pPr>
        <w:rPr>
          <w:rFonts w:eastAsia="Calibri"/>
        </w:rPr>
      </w:pPr>
    </w:p>
    <w:p w:rsidR="007E2A01" w:rsidRDefault="007E2A01" w:rsidP="007E2A01">
      <w:pPr>
        <w:pStyle w:val="Ttulo2"/>
        <w:numPr>
          <w:ilvl w:val="0"/>
          <w:numId w:val="35"/>
        </w:numPr>
        <w:ind w:left="0" w:firstLine="0"/>
        <w:jc w:val="center"/>
        <w:rPr>
          <w:rFonts w:ascii="Bookman Old Style" w:eastAsia="Calibri" w:hAnsi="Bookman Old Style" w:cs="Calibri"/>
          <w:sz w:val="22"/>
          <w:szCs w:val="22"/>
        </w:rPr>
      </w:pPr>
      <w:r>
        <w:rPr>
          <w:rFonts w:ascii="Bookman Old Style" w:eastAsia="Calibri" w:hAnsi="Bookman Old Style" w:cs="Calibri"/>
          <w:sz w:val="22"/>
          <w:szCs w:val="22"/>
        </w:rPr>
        <w:t>PROPOSICIÓN.</w:t>
      </w:r>
    </w:p>
    <w:p w:rsidR="007E2A01" w:rsidRDefault="007E2A01" w:rsidP="007E2A01">
      <w:pPr>
        <w:jc w:val="both"/>
        <w:rPr>
          <w:rFonts w:ascii="Bookman Old Style" w:hAnsi="Bookman Old Style" w:cs="Arial"/>
        </w:rPr>
      </w:pPr>
    </w:p>
    <w:p w:rsidR="00014699" w:rsidRDefault="007E2A01" w:rsidP="00014699">
      <w:pPr>
        <w:jc w:val="both"/>
        <w:rPr>
          <w:rFonts w:ascii="Bookman Old Style" w:hAnsi="Bookman Old Style" w:cs="Arial"/>
        </w:rPr>
      </w:pPr>
      <w:r w:rsidRPr="007039DA">
        <w:rPr>
          <w:rFonts w:ascii="Bookman Old Style" w:hAnsi="Bookman Old Style" w:cs="Arial"/>
        </w:rPr>
        <w:t>Con fundamento en las ante</w:t>
      </w:r>
      <w:r>
        <w:rPr>
          <w:rFonts w:ascii="Bookman Old Style" w:hAnsi="Bookman Old Style" w:cs="Arial"/>
        </w:rPr>
        <w:t>riores consideraciones, presentamos</w:t>
      </w:r>
      <w:r w:rsidRPr="007039DA">
        <w:rPr>
          <w:rFonts w:ascii="Bookman Old Style" w:hAnsi="Bookman Old Style" w:cs="Arial"/>
        </w:rPr>
        <w:t xml:space="preserve"> </w:t>
      </w:r>
      <w:r w:rsidRPr="007039DA">
        <w:rPr>
          <w:rFonts w:ascii="Bookman Old Style" w:hAnsi="Bookman Old Style" w:cs="Arial"/>
          <w:b/>
        </w:rPr>
        <w:t>ponencia positiva</w:t>
      </w:r>
      <w:r w:rsidR="008039E6">
        <w:rPr>
          <w:rFonts w:ascii="Bookman Old Style" w:hAnsi="Bookman Old Style" w:cs="Arial"/>
        </w:rPr>
        <w:t xml:space="preserve"> y solicitamos</w:t>
      </w:r>
      <w:r w:rsidRPr="007039DA">
        <w:rPr>
          <w:rFonts w:ascii="Bookman Old Style" w:hAnsi="Bookman Old Style" w:cs="Arial"/>
        </w:rPr>
        <w:t xml:space="preserve"> a los Honorables Representantes que integran la </w:t>
      </w:r>
      <w:r w:rsidR="00D669BB">
        <w:rPr>
          <w:rFonts w:ascii="Bookman Old Style" w:hAnsi="Bookman Old Style" w:cs="Arial"/>
        </w:rPr>
        <w:t>Plenaria</w:t>
      </w:r>
      <w:r w:rsidRPr="007039DA">
        <w:rPr>
          <w:rFonts w:ascii="Bookman Old Style" w:hAnsi="Bookman Old Style" w:cs="Arial"/>
        </w:rPr>
        <w:t xml:space="preserve"> de la Cámara de Representantes dar </w:t>
      </w:r>
      <w:r w:rsidR="00D669BB">
        <w:rPr>
          <w:rFonts w:ascii="Bookman Old Style" w:hAnsi="Bookman Old Style" w:cs="Arial"/>
        </w:rPr>
        <w:t>Segundo</w:t>
      </w:r>
      <w:r w:rsidRPr="007039DA">
        <w:rPr>
          <w:rFonts w:ascii="Bookman Old Style" w:hAnsi="Bookman Old Style" w:cs="Arial"/>
        </w:rPr>
        <w:t xml:space="preserve"> Debate en </w:t>
      </w:r>
      <w:r w:rsidR="00A52972">
        <w:rPr>
          <w:rFonts w:ascii="Bookman Old Style" w:hAnsi="Bookman Old Style" w:cs="Arial"/>
        </w:rPr>
        <w:t>segunda</w:t>
      </w:r>
      <w:r w:rsidRPr="007039DA">
        <w:rPr>
          <w:rFonts w:ascii="Bookman Old Style" w:hAnsi="Bookman Old Style" w:cs="Arial"/>
        </w:rPr>
        <w:t xml:space="preserve"> vuelta al </w:t>
      </w:r>
      <w:r w:rsidRPr="007039DA">
        <w:rPr>
          <w:rFonts w:ascii="Bookman Old Style" w:hAnsi="Bookman Old Style" w:cs="Arial"/>
          <w:bCs/>
          <w:lang w:val="es-ES_tradnl"/>
        </w:rPr>
        <w:t>Proyecto de Acto Legislativo número 00</w:t>
      </w:r>
      <w:r>
        <w:rPr>
          <w:rFonts w:ascii="Bookman Old Style" w:hAnsi="Bookman Old Style" w:cs="Arial"/>
          <w:bCs/>
          <w:lang w:val="es-ES_tradnl"/>
        </w:rPr>
        <w:t>2</w:t>
      </w:r>
      <w:r w:rsidRPr="007039DA">
        <w:rPr>
          <w:rFonts w:ascii="Bookman Old Style" w:hAnsi="Bookman Old Style" w:cs="Arial"/>
          <w:bCs/>
          <w:lang w:val="es-ES_tradnl"/>
        </w:rPr>
        <w:t xml:space="preserve"> de 202</w:t>
      </w:r>
      <w:r>
        <w:rPr>
          <w:rFonts w:ascii="Bookman Old Style" w:hAnsi="Bookman Old Style" w:cs="Arial"/>
          <w:bCs/>
          <w:lang w:val="es-ES_tradnl"/>
        </w:rPr>
        <w:t>2</w:t>
      </w:r>
      <w:r w:rsidRPr="007039DA">
        <w:rPr>
          <w:rFonts w:ascii="Bookman Old Style" w:hAnsi="Bookman Old Style" w:cs="Arial"/>
          <w:bCs/>
          <w:lang w:val="es-ES_tradnl"/>
        </w:rPr>
        <w:t xml:space="preserve"> Cámara</w:t>
      </w:r>
      <w:r w:rsidR="008039E6">
        <w:rPr>
          <w:rFonts w:ascii="Bookman Old Style" w:hAnsi="Bookman Old Style" w:cs="Arial"/>
          <w:bCs/>
          <w:lang w:val="es-ES_tradnl"/>
        </w:rPr>
        <w:t xml:space="preserve"> – 033 de 2022 Senado</w:t>
      </w:r>
      <w:r w:rsidRPr="007039DA">
        <w:rPr>
          <w:rFonts w:ascii="Bookman Old Style" w:hAnsi="Bookman Old Style" w:cs="Arial"/>
          <w:lang w:val="es-ES"/>
        </w:rPr>
        <w:t xml:space="preserve"> </w:t>
      </w:r>
      <w:r w:rsidRPr="00F120F7">
        <w:rPr>
          <w:rFonts w:ascii="Bookman Old Style" w:hAnsi="Bookman Old Style" w:cs="Arial"/>
          <w:bCs/>
          <w:i/>
        </w:rPr>
        <w:t>“Por medio del cual se modifica el artículo 49 de la Con</w:t>
      </w:r>
      <w:r w:rsidR="008828E2">
        <w:rPr>
          <w:rFonts w:ascii="Bookman Old Style" w:hAnsi="Bookman Old Style" w:cs="Arial"/>
          <w:bCs/>
          <w:i/>
        </w:rPr>
        <w:t>stitución Política de Colombia,</w:t>
      </w:r>
      <w:r w:rsidRPr="00F120F7">
        <w:rPr>
          <w:rFonts w:ascii="Bookman Old Style" w:hAnsi="Bookman Old Style" w:cs="Arial"/>
          <w:bCs/>
          <w:i/>
        </w:rPr>
        <w:t xml:space="preserve"> se regulariza el cannabis de uso adulto</w:t>
      </w:r>
      <w:r w:rsidR="008828E2">
        <w:rPr>
          <w:rFonts w:ascii="Bookman Old Style" w:hAnsi="Bookman Old Style" w:cs="Arial"/>
          <w:bCs/>
          <w:i/>
        </w:rPr>
        <w:t xml:space="preserve"> y se dictan otras disposiciones</w:t>
      </w:r>
      <w:r w:rsidRPr="00F120F7">
        <w:rPr>
          <w:rFonts w:ascii="Bookman Old Style" w:hAnsi="Bookman Old Style" w:cs="Arial"/>
          <w:bCs/>
          <w:i/>
        </w:rPr>
        <w:t>”</w:t>
      </w:r>
      <w:r w:rsidR="00A52972">
        <w:rPr>
          <w:rFonts w:ascii="Bookman Old Style" w:hAnsi="Bookman Old Style" w:cs="Arial"/>
          <w:i/>
        </w:rPr>
        <w:t>,</w:t>
      </w:r>
      <w:r w:rsidR="00A52972" w:rsidRPr="00A52972">
        <w:rPr>
          <w:rFonts w:ascii="Bookman Old Style" w:hAnsi="Bookman Old Style" w:cs="Arial"/>
        </w:rPr>
        <w:t xml:space="preserve"> s</w:t>
      </w:r>
      <w:r w:rsidR="00A52972">
        <w:rPr>
          <w:rFonts w:ascii="Bookman Old Style" w:hAnsi="Bookman Old Style" w:cs="Arial"/>
        </w:rPr>
        <w:t>egún</w:t>
      </w:r>
      <w:r w:rsidR="00014699">
        <w:rPr>
          <w:rFonts w:ascii="Bookman Old Style" w:hAnsi="Bookman Old Style" w:cs="Arial"/>
        </w:rPr>
        <w:t xml:space="preserve"> las modificaciones propuestas.</w:t>
      </w:r>
      <w:bookmarkStart w:id="6" w:name="_GoBack"/>
      <w:bookmarkEnd w:id="6"/>
    </w:p>
    <w:p w:rsidR="00D669BB" w:rsidRDefault="00D669BB" w:rsidP="00014699">
      <w:pPr>
        <w:jc w:val="both"/>
        <w:rPr>
          <w:rFonts w:ascii="Bookman Old Style" w:hAnsi="Bookman Old Style" w:cs="Arial"/>
        </w:rPr>
      </w:pPr>
    </w:p>
    <w:p w:rsidR="00D669BB" w:rsidRDefault="00D669BB" w:rsidP="00D669BB">
      <w:pPr>
        <w:contextualSpacing/>
        <w:jc w:val="both"/>
        <w:rPr>
          <w:rFonts w:ascii="Bookman Old Style" w:hAnsi="Bookman Old Style"/>
          <w:color w:val="000000" w:themeColor="text1"/>
        </w:rPr>
      </w:pPr>
    </w:p>
    <w:p w:rsidR="00D669BB" w:rsidRPr="00F46028" w:rsidRDefault="00D669BB" w:rsidP="00D669BB">
      <w:pPr>
        <w:contextualSpacing/>
        <w:jc w:val="both"/>
        <w:rPr>
          <w:rFonts w:ascii="Bookman Old Style" w:hAnsi="Bookman Old Style"/>
          <w:color w:val="000000" w:themeColor="text1"/>
        </w:rPr>
      </w:pPr>
    </w:p>
    <w:p w:rsidR="005B56B0" w:rsidRPr="00D72EAA" w:rsidRDefault="005B56B0" w:rsidP="005B56B0">
      <w:pPr>
        <w:jc w:val="both"/>
        <w:rPr>
          <w:rFonts w:ascii="Bookman Old Style" w:hAnsi="Bookman Old Style" w:cs="Arial"/>
        </w:rPr>
      </w:pPr>
      <w:r w:rsidRPr="00F46028">
        <w:rPr>
          <w:rFonts w:ascii="Bookman Old Style" w:hAnsi="Bookman Old Style" w:cs="Arial"/>
        </w:rPr>
        <w:t>Cordialmente,</w:t>
      </w:r>
    </w:p>
    <w:p w:rsidR="005B56B0" w:rsidRDefault="005B56B0" w:rsidP="005B56B0">
      <w:pPr>
        <w:contextualSpacing/>
        <w:jc w:val="both"/>
        <w:rPr>
          <w:rFonts w:ascii="Bookman Old Style" w:hAnsi="Bookman Old Style"/>
          <w:color w:val="000000" w:themeColor="text1"/>
        </w:rPr>
      </w:pPr>
    </w:p>
    <w:p w:rsidR="005B56B0" w:rsidRPr="00F46028" w:rsidRDefault="005B56B0" w:rsidP="005B56B0">
      <w:pPr>
        <w:contextualSpacing/>
        <w:jc w:val="both"/>
        <w:rPr>
          <w:rFonts w:ascii="Bookman Old Style" w:hAnsi="Bookman Old Style"/>
          <w:color w:val="000000" w:themeColor="text1"/>
        </w:rPr>
      </w:pPr>
    </w:p>
    <w:tbl>
      <w:tblPr>
        <w:tblStyle w:val="Tablaconcuadrcula"/>
        <w:tblW w:w="0" w:type="auto"/>
        <w:tblLook w:val="04A0" w:firstRow="1" w:lastRow="0" w:firstColumn="1" w:lastColumn="0" w:noHBand="0" w:noVBand="1"/>
      </w:tblPr>
      <w:tblGrid>
        <w:gridCol w:w="4414"/>
        <w:gridCol w:w="4414"/>
      </w:tblGrid>
      <w:tr w:rsidR="005B56B0" w:rsidTr="0027730B">
        <w:tc>
          <w:tcPr>
            <w:tcW w:w="4414" w:type="dxa"/>
          </w:tcPr>
          <w:p w:rsidR="005B56B0" w:rsidRDefault="005B56B0" w:rsidP="0027730B">
            <w:pPr>
              <w:pStyle w:val="Sinespaciado"/>
              <w:tabs>
                <w:tab w:val="left" w:pos="8055"/>
              </w:tabs>
              <w:jc w:val="center"/>
              <w:rPr>
                <w:rFonts w:ascii="Bookman Old Style" w:hAnsi="Bookman Old Style" w:cs="Arial"/>
                <w:b/>
              </w:rPr>
            </w:pPr>
          </w:p>
          <w:p w:rsidR="005B56B0" w:rsidRDefault="005B56B0" w:rsidP="0027730B">
            <w:pPr>
              <w:pStyle w:val="Sinespaciado"/>
              <w:tabs>
                <w:tab w:val="left" w:pos="8055"/>
              </w:tabs>
              <w:jc w:val="center"/>
              <w:rPr>
                <w:rFonts w:ascii="Bookman Old Style" w:hAnsi="Bookman Old Style" w:cs="Arial"/>
                <w:b/>
              </w:rPr>
            </w:pPr>
          </w:p>
          <w:p w:rsidR="005B56B0" w:rsidRDefault="005B56B0" w:rsidP="0027730B">
            <w:pPr>
              <w:pStyle w:val="Sinespaciado"/>
              <w:tabs>
                <w:tab w:val="left" w:pos="8055"/>
              </w:tabs>
              <w:jc w:val="center"/>
              <w:rPr>
                <w:rFonts w:ascii="Bookman Old Style" w:hAnsi="Bookman Old Style" w:cs="Arial"/>
                <w:b/>
              </w:rPr>
            </w:pPr>
          </w:p>
          <w:p w:rsidR="005B56B0" w:rsidRDefault="005B56B0" w:rsidP="0027730B">
            <w:pPr>
              <w:pStyle w:val="Sinespaciado"/>
              <w:tabs>
                <w:tab w:val="left" w:pos="8055"/>
              </w:tabs>
              <w:jc w:val="center"/>
              <w:rPr>
                <w:rFonts w:ascii="Bookman Old Style" w:hAnsi="Bookman Old Style" w:cs="Arial"/>
                <w:b/>
              </w:rPr>
            </w:pPr>
          </w:p>
          <w:p w:rsidR="005B56B0" w:rsidRPr="00F46028" w:rsidRDefault="005B56B0" w:rsidP="0027730B">
            <w:pPr>
              <w:pStyle w:val="Sinespaciado"/>
              <w:tabs>
                <w:tab w:val="left" w:pos="8055"/>
              </w:tabs>
              <w:jc w:val="center"/>
              <w:rPr>
                <w:rFonts w:ascii="Bookman Old Style" w:hAnsi="Bookman Old Style" w:cs="Arial"/>
                <w:b/>
              </w:rPr>
            </w:pPr>
            <w:r w:rsidRPr="00F46028">
              <w:rPr>
                <w:rFonts w:ascii="Bookman Old Style" w:hAnsi="Bookman Old Style" w:cs="Arial"/>
                <w:b/>
              </w:rPr>
              <w:t>JUAN CARLOS LOZADA VARGAS</w:t>
            </w:r>
          </w:p>
          <w:p w:rsidR="005B56B0" w:rsidRPr="00F46028" w:rsidRDefault="005B56B0" w:rsidP="0027730B">
            <w:pPr>
              <w:pStyle w:val="Sinespaciado"/>
              <w:tabs>
                <w:tab w:val="left" w:pos="8055"/>
              </w:tabs>
              <w:jc w:val="center"/>
              <w:rPr>
                <w:rFonts w:ascii="Bookman Old Style" w:hAnsi="Bookman Old Style" w:cs="Arial"/>
              </w:rPr>
            </w:pPr>
            <w:r w:rsidRPr="00F46028">
              <w:rPr>
                <w:rFonts w:ascii="Bookman Old Style" w:hAnsi="Bookman Old Style" w:cs="Arial"/>
              </w:rPr>
              <w:t>Representante a la Cámara</w:t>
            </w:r>
            <w:r>
              <w:rPr>
                <w:rFonts w:ascii="Bookman Old Style" w:hAnsi="Bookman Old Style" w:cs="Arial"/>
              </w:rPr>
              <w:t>.</w:t>
            </w:r>
          </w:p>
          <w:p w:rsidR="005B56B0" w:rsidRPr="00ED06C0" w:rsidRDefault="005B56B0" w:rsidP="0027730B">
            <w:pPr>
              <w:pStyle w:val="Sinespaciado"/>
              <w:tabs>
                <w:tab w:val="left" w:pos="8055"/>
              </w:tabs>
              <w:jc w:val="center"/>
              <w:rPr>
                <w:rFonts w:ascii="Bookman Old Style" w:hAnsi="Bookman Old Style" w:cs="Arial"/>
              </w:rPr>
            </w:pPr>
            <w:r w:rsidRPr="00F46028">
              <w:rPr>
                <w:rFonts w:ascii="Bookman Old Style" w:hAnsi="Bookman Old Style" w:cs="Arial"/>
              </w:rPr>
              <w:t>Ponente</w:t>
            </w:r>
            <w:r>
              <w:rPr>
                <w:rFonts w:ascii="Bookman Old Style" w:hAnsi="Bookman Old Style" w:cs="Arial"/>
              </w:rPr>
              <w:t xml:space="preserve"> Coordinador.</w:t>
            </w:r>
          </w:p>
        </w:tc>
        <w:tc>
          <w:tcPr>
            <w:tcW w:w="4414" w:type="dxa"/>
          </w:tcPr>
          <w:p w:rsidR="005B56B0" w:rsidRDefault="005B56B0" w:rsidP="0027730B">
            <w:pPr>
              <w:pStyle w:val="Sinespaciado"/>
              <w:tabs>
                <w:tab w:val="left" w:pos="8055"/>
              </w:tabs>
              <w:jc w:val="center"/>
              <w:rPr>
                <w:rFonts w:ascii="Bookman Old Style" w:hAnsi="Bookman Old Style" w:cs="Arial"/>
                <w:b/>
              </w:rPr>
            </w:pPr>
          </w:p>
          <w:p w:rsidR="005B56B0" w:rsidRDefault="005B56B0" w:rsidP="0027730B">
            <w:pPr>
              <w:pStyle w:val="Sinespaciado"/>
              <w:tabs>
                <w:tab w:val="left" w:pos="8055"/>
              </w:tabs>
              <w:jc w:val="center"/>
              <w:rPr>
                <w:rFonts w:ascii="Bookman Old Style" w:hAnsi="Bookman Old Style" w:cs="Arial"/>
                <w:b/>
              </w:rPr>
            </w:pPr>
          </w:p>
          <w:p w:rsidR="005B56B0" w:rsidRDefault="005B56B0" w:rsidP="0027730B">
            <w:pPr>
              <w:pStyle w:val="Sinespaciado"/>
              <w:tabs>
                <w:tab w:val="left" w:pos="8055"/>
              </w:tabs>
              <w:jc w:val="center"/>
              <w:rPr>
                <w:rFonts w:ascii="Bookman Old Style" w:hAnsi="Bookman Old Style" w:cs="Arial"/>
                <w:b/>
              </w:rPr>
            </w:pPr>
          </w:p>
          <w:p w:rsidR="005B56B0" w:rsidRDefault="005B56B0" w:rsidP="0027730B">
            <w:pPr>
              <w:pStyle w:val="Sinespaciado"/>
              <w:tabs>
                <w:tab w:val="left" w:pos="8055"/>
              </w:tabs>
              <w:jc w:val="center"/>
              <w:rPr>
                <w:rFonts w:ascii="Bookman Old Style" w:hAnsi="Bookman Old Style" w:cs="Arial"/>
                <w:b/>
              </w:rPr>
            </w:pPr>
          </w:p>
          <w:p w:rsidR="005B56B0" w:rsidRPr="00F46028" w:rsidRDefault="005B56B0" w:rsidP="0027730B">
            <w:pPr>
              <w:pStyle w:val="Sinespaciado"/>
              <w:tabs>
                <w:tab w:val="left" w:pos="8055"/>
              </w:tabs>
              <w:ind w:left="7" w:right="84" w:hanging="7"/>
              <w:jc w:val="center"/>
              <w:rPr>
                <w:rFonts w:ascii="Bookman Old Style" w:hAnsi="Bookman Old Style" w:cs="Arial"/>
                <w:b/>
              </w:rPr>
            </w:pPr>
            <w:r>
              <w:rPr>
                <w:rFonts w:ascii="Bookman Old Style" w:hAnsi="Bookman Old Style" w:cs="Arial"/>
                <w:b/>
              </w:rPr>
              <w:t>JORGE ALEJANDRO OCAMPO</w:t>
            </w:r>
          </w:p>
          <w:p w:rsidR="005B56B0" w:rsidRPr="00F46028" w:rsidRDefault="005B56B0" w:rsidP="0027730B">
            <w:pPr>
              <w:pStyle w:val="Sinespaciado"/>
              <w:tabs>
                <w:tab w:val="left" w:pos="8055"/>
              </w:tabs>
              <w:jc w:val="center"/>
              <w:rPr>
                <w:rFonts w:ascii="Bookman Old Style" w:hAnsi="Bookman Old Style" w:cs="Arial"/>
              </w:rPr>
            </w:pPr>
            <w:r w:rsidRPr="00F46028">
              <w:rPr>
                <w:rFonts w:ascii="Bookman Old Style" w:hAnsi="Bookman Old Style" w:cs="Arial"/>
              </w:rPr>
              <w:t>Representante a la Cámara</w:t>
            </w:r>
            <w:r>
              <w:rPr>
                <w:rFonts w:ascii="Bookman Old Style" w:hAnsi="Bookman Old Style" w:cs="Arial"/>
              </w:rPr>
              <w:t>.</w:t>
            </w:r>
          </w:p>
          <w:p w:rsidR="005B56B0" w:rsidRDefault="005B56B0" w:rsidP="0027730B">
            <w:pPr>
              <w:contextualSpacing/>
              <w:jc w:val="center"/>
              <w:rPr>
                <w:rFonts w:ascii="Bookman Old Style" w:hAnsi="Bookman Old Style"/>
                <w:color w:val="000000" w:themeColor="text1"/>
              </w:rPr>
            </w:pPr>
            <w:r w:rsidRPr="00F46028">
              <w:rPr>
                <w:rFonts w:ascii="Bookman Old Style" w:hAnsi="Bookman Old Style" w:cs="Arial"/>
              </w:rPr>
              <w:t>Ponente</w:t>
            </w:r>
            <w:r>
              <w:rPr>
                <w:rFonts w:ascii="Bookman Old Style" w:hAnsi="Bookman Old Style" w:cs="Arial"/>
              </w:rPr>
              <w:t xml:space="preserve"> Coordinador.</w:t>
            </w:r>
          </w:p>
        </w:tc>
      </w:tr>
      <w:tr w:rsidR="005B56B0" w:rsidTr="0027730B">
        <w:tc>
          <w:tcPr>
            <w:tcW w:w="4414" w:type="dxa"/>
          </w:tcPr>
          <w:p w:rsidR="005B56B0" w:rsidRDefault="005B56B0" w:rsidP="0027730B">
            <w:pPr>
              <w:pStyle w:val="Sinespaciado"/>
              <w:tabs>
                <w:tab w:val="left" w:pos="8055"/>
              </w:tabs>
              <w:jc w:val="center"/>
              <w:rPr>
                <w:rFonts w:ascii="Bookman Old Style" w:hAnsi="Bookman Old Style" w:cs="Arial"/>
                <w:b/>
              </w:rPr>
            </w:pPr>
          </w:p>
          <w:p w:rsidR="005B56B0" w:rsidRDefault="005B56B0" w:rsidP="0027730B">
            <w:pPr>
              <w:pStyle w:val="Sinespaciado"/>
              <w:tabs>
                <w:tab w:val="left" w:pos="8055"/>
              </w:tabs>
              <w:jc w:val="center"/>
              <w:rPr>
                <w:rFonts w:ascii="Bookman Old Style" w:hAnsi="Bookman Old Style" w:cs="Arial"/>
                <w:b/>
              </w:rPr>
            </w:pPr>
          </w:p>
          <w:p w:rsidR="005B56B0" w:rsidRDefault="005B56B0" w:rsidP="0027730B">
            <w:pPr>
              <w:pStyle w:val="Sinespaciado"/>
              <w:tabs>
                <w:tab w:val="left" w:pos="8055"/>
              </w:tabs>
              <w:jc w:val="center"/>
              <w:rPr>
                <w:rFonts w:ascii="Bookman Old Style" w:hAnsi="Bookman Old Style" w:cs="Arial"/>
                <w:b/>
              </w:rPr>
            </w:pPr>
          </w:p>
          <w:p w:rsidR="005B56B0" w:rsidRDefault="005B56B0" w:rsidP="0027730B">
            <w:pPr>
              <w:pStyle w:val="Sinespaciado"/>
              <w:tabs>
                <w:tab w:val="left" w:pos="8055"/>
              </w:tabs>
              <w:jc w:val="center"/>
              <w:rPr>
                <w:rFonts w:ascii="Bookman Old Style" w:hAnsi="Bookman Old Style" w:cs="Arial"/>
                <w:b/>
              </w:rPr>
            </w:pPr>
          </w:p>
          <w:p w:rsidR="005B56B0" w:rsidRPr="00F46028" w:rsidRDefault="005B56B0" w:rsidP="0027730B">
            <w:pPr>
              <w:pStyle w:val="Sinespaciado"/>
              <w:tabs>
                <w:tab w:val="left" w:pos="8055"/>
              </w:tabs>
              <w:jc w:val="center"/>
              <w:rPr>
                <w:rFonts w:ascii="Bookman Old Style" w:hAnsi="Bookman Old Style" w:cs="Arial"/>
                <w:b/>
              </w:rPr>
            </w:pPr>
            <w:r>
              <w:rPr>
                <w:rFonts w:ascii="Bookman Old Style" w:hAnsi="Bookman Old Style" w:cs="Arial"/>
                <w:b/>
              </w:rPr>
              <w:t>MARELEN CASTILLO TORRES</w:t>
            </w:r>
          </w:p>
          <w:p w:rsidR="005B56B0" w:rsidRPr="00F46028" w:rsidRDefault="005B56B0" w:rsidP="0027730B">
            <w:pPr>
              <w:pStyle w:val="Sinespaciado"/>
              <w:tabs>
                <w:tab w:val="left" w:pos="8055"/>
              </w:tabs>
              <w:jc w:val="center"/>
              <w:rPr>
                <w:rFonts w:ascii="Bookman Old Style" w:hAnsi="Bookman Old Style" w:cs="Arial"/>
              </w:rPr>
            </w:pPr>
            <w:r w:rsidRPr="00F46028">
              <w:rPr>
                <w:rFonts w:ascii="Bookman Old Style" w:hAnsi="Bookman Old Style" w:cs="Arial"/>
              </w:rPr>
              <w:t>Representante a la Cámara</w:t>
            </w:r>
            <w:r>
              <w:rPr>
                <w:rFonts w:ascii="Bookman Old Style" w:hAnsi="Bookman Old Style" w:cs="Arial"/>
              </w:rPr>
              <w:t>.</w:t>
            </w:r>
          </w:p>
          <w:p w:rsidR="005B56B0" w:rsidRDefault="005B56B0" w:rsidP="0027730B">
            <w:pPr>
              <w:contextualSpacing/>
              <w:jc w:val="center"/>
              <w:rPr>
                <w:rFonts w:ascii="Bookman Old Style" w:hAnsi="Bookman Old Style"/>
                <w:color w:val="000000" w:themeColor="text1"/>
              </w:rPr>
            </w:pPr>
            <w:r w:rsidRPr="00F46028">
              <w:rPr>
                <w:rFonts w:ascii="Bookman Old Style" w:hAnsi="Bookman Old Style" w:cs="Arial"/>
              </w:rPr>
              <w:t>Ponente</w:t>
            </w:r>
            <w:r>
              <w:rPr>
                <w:rFonts w:ascii="Bookman Old Style" w:hAnsi="Bookman Old Style" w:cs="Arial"/>
              </w:rPr>
              <w:t>.</w:t>
            </w:r>
          </w:p>
        </w:tc>
        <w:tc>
          <w:tcPr>
            <w:tcW w:w="4414" w:type="dxa"/>
          </w:tcPr>
          <w:p w:rsidR="005B56B0" w:rsidRDefault="005B56B0" w:rsidP="0027730B">
            <w:pPr>
              <w:pStyle w:val="Sinespaciado"/>
              <w:tabs>
                <w:tab w:val="left" w:pos="8055"/>
              </w:tabs>
              <w:jc w:val="center"/>
              <w:rPr>
                <w:rFonts w:ascii="Bookman Old Style" w:hAnsi="Bookman Old Style" w:cs="Arial"/>
                <w:b/>
              </w:rPr>
            </w:pPr>
          </w:p>
          <w:p w:rsidR="005B56B0" w:rsidRDefault="005B56B0" w:rsidP="0027730B">
            <w:pPr>
              <w:pStyle w:val="Sinespaciado"/>
              <w:tabs>
                <w:tab w:val="left" w:pos="8055"/>
              </w:tabs>
              <w:jc w:val="center"/>
              <w:rPr>
                <w:rFonts w:ascii="Bookman Old Style" w:hAnsi="Bookman Old Style" w:cs="Arial"/>
                <w:b/>
              </w:rPr>
            </w:pPr>
          </w:p>
          <w:p w:rsidR="005B56B0" w:rsidRDefault="005B56B0" w:rsidP="0027730B">
            <w:pPr>
              <w:pStyle w:val="Sinespaciado"/>
              <w:tabs>
                <w:tab w:val="left" w:pos="8055"/>
              </w:tabs>
              <w:jc w:val="center"/>
              <w:rPr>
                <w:rFonts w:ascii="Bookman Old Style" w:hAnsi="Bookman Old Style" w:cs="Arial"/>
                <w:b/>
              </w:rPr>
            </w:pPr>
          </w:p>
          <w:p w:rsidR="005B56B0" w:rsidRDefault="005B56B0" w:rsidP="0027730B">
            <w:pPr>
              <w:pStyle w:val="Sinespaciado"/>
              <w:tabs>
                <w:tab w:val="left" w:pos="8055"/>
              </w:tabs>
              <w:jc w:val="center"/>
              <w:rPr>
                <w:rFonts w:ascii="Bookman Old Style" w:hAnsi="Bookman Old Style" w:cs="Arial"/>
                <w:b/>
              </w:rPr>
            </w:pPr>
          </w:p>
          <w:p w:rsidR="005B56B0" w:rsidRPr="00F46028" w:rsidRDefault="005B56B0" w:rsidP="0027730B">
            <w:pPr>
              <w:pStyle w:val="Sinespaciado"/>
              <w:tabs>
                <w:tab w:val="left" w:pos="8055"/>
              </w:tabs>
              <w:jc w:val="center"/>
              <w:rPr>
                <w:rFonts w:ascii="Bookman Old Style" w:hAnsi="Bookman Old Style" w:cs="Arial"/>
                <w:b/>
              </w:rPr>
            </w:pPr>
            <w:r>
              <w:rPr>
                <w:rFonts w:ascii="Bookman Old Style" w:hAnsi="Bookman Old Style" w:cs="Arial"/>
                <w:b/>
              </w:rPr>
              <w:t>LUIS ALBERTO ALBAN URBANO</w:t>
            </w:r>
          </w:p>
          <w:p w:rsidR="005B56B0" w:rsidRPr="00F46028" w:rsidRDefault="005B56B0" w:rsidP="0027730B">
            <w:pPr>
              <w:pStyle w:val="Sinespaciado"/>
              <w:tabs>
                <w:tab w:val="left" w:pos="8055"/>
              </w:tabs>
              <w:jc w:val="center"/>
              <w:rPr>
                <w:rFonts w:ascii="Bookman Old Style" w:hAnsi="Bookman Old Style" w:cs="Arial"/>
              </w:rPr>
            </w:pPr>
            <w:r w:rsidRPr="00F46028">
              <w:rPr>
                <w:rFonts w:ascii="Bookman Old Style" w:hAnsi="Bookman Old Style" w:cs="Arial"/>
              </w:rPr>
              <w:t>Representante a la Cámara</w:t>
            </w:r>
            <w:r>
              <w:rPr>
                <w:rFonts w:ascii="Bookman Old Style" w:hAnsi="Bookman Old Style" w:cs="Arial"/>
              </w:rPr>
              <w:t>.</w:t>
            </w:r>
          </w:p>
          <w:p w:rsidR="005B56B0" w:rsidRDefault="005B56B0" w:rsidP="0027730B">
            <w:pPr>
              <w:contextualSpacing/>
              <w:jc w:val="center"/>
              <w:rPr>
                <w:rFonts w:ascii="Bookman Old Style" w:hAnsi="Bookman Old Style"/>
                <w:color w:val="000000" w:themeColor="text1"/>
              </w:rPr>
            </w:pPr>
            <w:r w:rsidRPr="00F46028">
              <w:rPr>
                <w:rFonts w:ascii="Bookman Old Style" w:hAnsi="Bookman Old Style" w:cs="Arial"/>
              </w:rPr>
              <w:t>Ponente</w:t>
            </w:r>
            <w:r>
              <w:rPr>
                <w:rFonts w:ascii="Bookman Old Style" w:hAnsi="Bookman Old Style" w:cs="Arial"/>
              </w:rPr>
              <w:t>.</w:t>
            </w:r>
          </w:p>
        </w:tc>
      </w:tr>
      <w:tr w:rsidR="005B56B0" w:rsidTr="0027730B">
        <w:tc>
          <w:tcPr>
            <w:tcW w:w="4414" w:type="dxa"/>
          </w:tcPr>
          <w:p w:rsidR="005B56B0" w:rsidRDefault="005B56B0" w:rsidP="0027730B">
            <w:pPr>
              <w:pStyle w:val="Sinespaciado"/>
              <w:tabs>
                <w:tab w:val="left" w:pos="8055"/>
              </w:tabs>
              <w:rPr>
                <w:rFonts w:ascii="Bookman Old Style" w:hAnsi="Bookman Old Style" w:cs="Arial"/>
                <w:b/>
              </w:rPr>
            </w:pPr>
          </w:p>
          <w:p w:rsidR="005B56B0" w:rsidRDefault="005B56B0" w:rsidP="0027730B">
            <w:pPr>
              <w:pStyle w:val="Sinespaciado"/>
              <w:tabs>
                <w:tab w:val="left" w:pos="8055"/>
              </w:tabs>
              <w:rPr>
                <w:rFonts w:ascii="Bookman Old Style" w:hAnsi="Bookman Old Style" w:cs="Arial"/>
                <w:b/>
              </w:rPr>
            </w:pPr>
          </w:p>
          <w:p w:rsidR="005B56B0" w:rsidRDefault="005B56B0" w:rsidP="0027730B">
            <w:pPr>
              <w:pStyle w:val="Sinespaciado"/>
              <w:tabs>
                <w:tab w:val="left" w:pos="8055"/>
              </w:tabs>
              <w:rPr>
                <w:rFonts w:ascii="Bookman Old Style" w:hAnsi="Bookman Old Style" w:cs="Arial"/>
                <w:b/>
              </w:rPr>
            </w:pPr>
          </w:p>
          <w:p w:rsidR="005B56B0" w:rsidRDefault="005B56B0" w:rsidP="0027730B">
            <w:pPr>
              <w:pStyle w:val="Sinespaciado"/>
              <w:tabs>
                <w:tab w:val="left" w:pos="8055"/>
              </w:tabs>
              <w:rPr>
                <w:rFonts w:ascii="Bookman Old Style" w:hAnsi="Bookman Old Style" w:cs="Arial"/>
                <w:b/>
              </w:rPr>
            </w:pPr>
          </w:p>
          <w:p w:rsidR="005B56B0" w:rsidRPr="00F46028" w:rsidRDefault="005B56B0" w:rsidP="0027730B">
            <w:pPr>
              <w:pStyle w:val="Sinespaciado"/>
              <w:tabs>
                <w:tab w:val="left" w:pos="8055"/>
              </w:tabs>
              <w:jc w:val="center"/>
              <w:rPr>
                <w:rFonts w:ascii="Bookman Old Style" w:hAnsi="Bookman Old Style" w:cs="Arial"/>
                <w:b/>
              </w:rPr>
            </w:pPr>
            <w:r>
              <w:rPr>
                <w:rFonts w:ascii="Bookman Old Style" w:hAnsi="Bookman Old Style" w:cs="Arial"/>
                <w:b/>
              </w:rPr>
              <w:t>CATHERINE JUVINAO CLAVIJO</w:t>
            </w:r>
          </w:p>
          <w:p w:rsidR="005B56B0" w:rsidRPr="00F46028" w:rsidRDefault="005B56B0" w:rsidP="0027730B">
            <w:pPr>
              <w:pStyle w:val="Sinespaciado"/>
              <w:tabs>
                <w:tab w:val="left" w:pos="8055"/>
              </w:tabs>
              <w:jc w:val="center"/>
              <w:rPr>
                <w:rFonts w:ascii="Bookman Old Style" w:hAnsi="Bookman Old Style" w:cs="Arial"/>
              </w:rPr>
            </w:pPr>
            <w:r w:rsidRPr="00F46028">
              <w:rPr>
                <w:rFonts w:ascii="Bookman Old Style" w:hAnsi="Bookman Old Style" w:cs="Arial"/>
              </w:rPr>
              <w:t>Representante a la Cámara</w:t>
            </w:r>
            <w:r>
              <w:rPr>
                <w:rFonts w:ascii="Bookman Old Style" w:hAnsi="Bookman Old Style" w:cs="Arial"/>
              </w:rPr>
              <w:t>.</w:t>
            </w:r>
          </w:p>
          <w:p w:rsidR="005B56B0" w:rsidRDefault="005B56B0" w:rsidP="0027730B">
            <w:pPr>
              <w:contextualSpacing/>
              <w:jc w:val="center"/>
              <w:rPr>
                <w:rFonts w:ascii="Bookman Old Style" w:hAnsi="Bookman Old Style"/>
                <w:color w:val="000000" w:themeColor="text1"/>
              </w:rPr>
            </w:pPr>
            <w:r w:rsidRPr="00F46028">
              <w:rPr>
                <w:rFonts w:ascii="Bookman Old Style" w:hAnsi="Bookman Old Style" w:cs="Arial"/>
              </w:rPr>
              <w:t>Ponente</w:t>
            </w:r>
            <w:r>
              <w:rPr>
                <w:rFonts w:ascii="Bookman Old Style" w:hAnsi="Bookman Old Style" w:cs="Arial"/>
              </w:rPr>
              <w:t>.</w:t>
            </w:r>
          </w:p>
        </w:tc>
        <w:tc>
          <w:tcPr>
            <w:tcW w:w="4414" w:type="dxa"/>
          </w:tcPr>
          <w:p w:rsidR="005B56B0" w:rsidRDefault="005B56B0" w:rsidP="0027730B">
            <w:pPr>
              <w:pStyle w:val="Sinespaciado"/>
              <w:tabs>
                <w:tab w:val="left" w:pos="8055"/>
              </w:tabs>
              <w:jc w:val="center"/>
              <w:rPr>
                <w:rFonts w:ascii="Bookman Old Style" w:hAnsi="Bookman Old Style" w:cs="Arial"/>
                <w:b/>
              </w:rPr>
            </w:pPr>
          </w:p>
          <w:p w:rsidR="005B56B0" w:rsidRDefault="005B56B0" w:rsidP="0027730B">
            <w:pPr>
              <w:pStyle w:val="Sinespaciado"/>
              <w:tabs>
                <w:tab w:val="left" w:pos="8055"/>
              </w:tabs>
              <w:jc w:val="center"/>
              <w:rPr>
                <w:rFonts w:ascii="Bookman Old Style" w:hAnsi="Bookman Old Style" w:cs="Arial"/>
                <w:b/>
              </w:rPr>
            </w:pPr>
          </w:p>
          <w:p w:rsidR="005B56B0" w:rsidRDefault="005B56B0" w:rsidP="0027730B">
            <w:pPr>
              <w:pStyle w:val="Sinespaciado"/>
              <w:tabs>
                <w:tab w:val="left" w:pos="8055"/>
              </w:tabs>
              <w:jc w:val="center"/>
              <w:rPr>
                <w:rFonts w:ascii="Bookman Old Style" w:hAnsi="Bookman Old Style" w:cs="Arial"/>
                <w:b/>
              </w:rPr>
            </w:pPr>
          </w:p>
          <w:p w:rsidR="005B56B0" w:rsidRDefault="005B56B0" w:rsidP="0027730B">
            <w:pPr>
              <w:pStyle w:val="Sinespaciado"/>
              <w:tabs>
                <w:tab w:val="left" w:pos="8055"/>
              </w:tabs>
              <w:jc w:val="center"/>
              <w:rPr>
                <w:rFonts w:ascii="Bookman Old Style" w:hAnsi="Bookman Old Style" w:cs="Arial"/>
                <w:b/>
              </w:rPr>
            </w:pPr>
          </w:p>
          <w:p w:rsidR="005B56B0" w:rsidRPr="00F46028" w:rsidRDefault="005B56B0" w:rsidP="0027730B">
            <w:pPr>
              <w:pStyle w:val="Sinespaciado"/>
              <w:tabs>
                <w:tab w:val="left" w:pos="8055"/>
              </w:tabs>
              <w:jc w:val="center"/>
              <w:rPr>
                <w:rFonts w:ascii="Bookman Old Style" w:hAnsi="Bookman Old Style" w:cs="Arial"/>
                <w:b/>
              </w:rPr>
            </w:pPr>
            <w:r>
              <w:rPr>
                <w:rFonts w:ascii="Bookman Old Style" w:hAnsi="Bookman Old Style" w:cs="Arial"/>
                <w:b/>
              </w:rPr>
              <w:t>HERNAN DARIO CADAVID</w:t>
            </w:r>
          </w:p>
          <w:p w:rsidR="005B56B0" w:rsidRPr="00F46028" w:rsidRDefault="005B56B0" w:rsidP="0027730B">
            <w:pPr>
              <w:pStyle w:val="Sinespaciado"/>
              <w:tabs>
                <w:tab w:val="left" w:pos="8055"/>
              </w:tabs>
              <w:jc w:val="center"/>
              <w:rPr>
                <w:rFonts w:ascii="Bookman Old Style" w:hAnsi="Bookman Old Style" w:cs="Arial"/>
              </w:rPr>
            </w:pPr>
            <w:r w:rsidRPr="00F46028">
              <w:rPr>
                <w:rFonts w:ascii="Bookman Old Style" w:hAnsi="Bookman Old Style" w:cs="Arial"/>
              </w:rPr>
              <w:t>Representante a la Cámara</w:t>
            </w:r>
            <w:r>
              <w:rPr>
                <w:rFonts w:ascii="Bookman Old Style" w:hAnsi="Bookman Old Style" w:cs="Arial"/>
              </w:rPr>
              <w:t>.</w:t>
            </w:r>
          </w:p>
          <w:p w:rsidR="005B56B0" w:rsidRDefault="005B56B0" w:rsidP="0027730B">
            <w:pPr>
              <w:contextualSpacing/>
              <w:jc w:val="center"/>
              <w:rPr>
                <w:rFonts w:ascii="Bookman Old Style" w:hAnsi="Bookman Old Style"/>
                <w:color w:val="000000" w:themeColor="text1"/>
              </w:rPr>
            </w:pPr>
            <w:r w:rsidRPr="00F46028">
              <w:rPr>
                <w:rFonts w:ascii="Bookman Old Style" w:hAnsi="Bookman Old Style" w:cs="Arial"/>
              </w:rPr>
              <w:t>Ponente</w:t>
            </w:r>
            <w:r>
              <w:rPr>
                <w:rFonts w:ascii="Bookman Old Style" w:hAnsi="Bookman Old Style" w:cs="Arial"/>
              </w:rPr>
              <w:t>.</w:t>
            </w:r>
          </w:p>
        </w:tc>
      </w:tr>
      <w:tr w:rsidR="005B56B0" w:rsidTr="0027730B">
        <w:tc>
          <w:tcPr>
            <w:tcW w:w="4414" w:type="dxa"/>
          </w:tcPr>
          <w:p w:rsidR="005B56B0" w:rsidRDefault="005B56B0" w:rsidP="0027730B">
            <w:pPr>
              <w:pStyle w:val="Sinespaciado"/>
              <w:tabs>
                <w:tab w:val="left" w:pos="8055"/>
              </w:tabs>
              <w:jc w:val="center"/>
              <w:rPr>
                <w:rFonts w:ascii="Bookman Old Style" w:hAnsi="Bookman Old Style" w:cs="Arial"/>
                <w:b/>
              </w:rPr>
            </w:pPr>
          </w:p>
          <w:p w:rsidR="005B56B0" w:rsidRDefault="005B56B0" w:rsidP="0027730B">
            <w:pPr>
              <w:pStyle w:val="Sinespaciado"/>
              <w:tabs>
                <w:tab w:val="left" w:pos="8055"/>
              </w:tabs>
              <w:jc w:val="center"/>
              <w:rPr>
                <w:rFonts w:ascii="Bookman Old Style" w:hAnsi="Bookman Old Style" w:cs="Arial"/>
                <w:b/>
              </w:rPr>
            </w:pPr>
          </w:p>
          <w:p w:rsidR="005B56B0" w:rsidRDefault="005B56B0" w:rsidP="0027730B">
            <w:pPr>
              <w:pStyle w:val="Sinespaciado"/>
              <w:tabs>
                <w:tab w:val="left" w:pos="8055"/>
              </w:tabs>
              <w:jc w:val="center"/>
              <w:rPr>
                <w:rFonts w:ascii="Bookman Old Style" w:hAnsi="Bookman Old Style" w:cs="Arial"/>
                <w:b/>
              </w:rPr>
            </w:pPr>
          </w:p>
          <w:p w:rsidR="005B56B0" w:rsidRDefault="005B56B0" w:rsidP="0027730B">
            <w:pPr>
              <w:pStyle w:val="Sinespaciado"/>
              <w:tabs>
                <w:tab w:val="left" w:pos="8055"/>
              </w:tabs>
              <w:jc w:val="center"/>
              <w:rPr>
                <w:rFonts w:ascii="Bookman Old Style" w:hAnsi="Bookman Old Style" w:cs="Arial"/>
                <w:b/>
              </w:rPr>
            </w:pPr>
          </w:p>
          <w:p w:rsidR="005B56B0" w:rsidRPr="00F46028" w:rsidRDefault="005B56B0" w:rsidP="0027730B">
            <w:pPr>
              <w:pStyle w:val="Sinespaciado"/>
              <w:tabs>
                <w:tab w:val="left" w:pos="8055"/>
              </w:tabs>
              <w:jc w:val="center"/>
              <w:rPr>
                <w:rFonts w:ascii="Bookman Old Style" w:hAnsi="Bookman Old Style" w:cs="Arial"/>
                <w:b/>
              </w:rPr>
            </w:pPr>
            <w:r>
              <w:rPr>
                <w:rFonts w:ascii="Bookman Old Style" w:hAnsi="Bookman Old Style" w:cs="Arial"/>
                <w:b/>
              </w:rPr>
              <w:t>JULIO CESAR TRIANA QUITERO</w:t>
            </w:r>
          </w:p>
          <w:p w:rsidR="005B56B0" w:rsidRPr="00F46028" w:rsidRDefault="005B56B0" w:rsidP="0027730B">
            <w:pPr>
              <w:pStyle w:val="Sinespaciado"/>
              <w:tabs>
                <w:tab w:val="left" w:pos="8055"/>
              </w:tabs>
              <w:jc w:val="center"/>
              <w:rPr>
                <w:rFonts w:ascii="Bookman Old Style" w:hAnsi="Bookman Old Style" w:cs="Arial"/>
              </w:rPr>
            </w:pPr>
            <w:r w:rsidRPr="00F46028">
              <w:rPr>
                <w:rFonts w:ascii="Bookman Old Style" w:hAnsi="Bookman Old Style" w:cs="Arial"/>
              </w:rPr>
              <w:t>Representante a la Cámara</w:t>
            </w:r>
            <w:r>
              <w:rPr>
                <w:rFonts w:ascii="Bookman Old Style" w:hAnsi="Bookman Old Style" w:cs="Arial"/>
              </w:rPr>
              <w:t>.</w:t>
            </w:r>
          </w:p>
          <w:p w:rsidR="005B56B0" w:rsidRDefault="005B56B0" w:rsidP="0027730B">
            <w:pPr>
              <w:contextualSpacing/>
              <w:jc w:val="center"/>
              <w:rPr>
                <w:rFonts w:ascii="Bookman Old Style" w:hAnsi="Bookman Old Style"/>
                <w:color w:val="000000" w:themeColor="text1"/>
              </w:rPr>
            </w:pPr>
            <w:r w:rsidRPr="00F46028">
              <w:rPr>
                <w:rFonts w:ascii="Bookman Old Style" w:hAnsi="Bookman Old Style" w:cs="Arial"/>
              </w:rPr>
              <w:t>Ponente</w:t>
            </w:r>
            <w:r>
              <w:rPr>
                <w:rFonts w:ascii="Bookman Old Style" w:hAnsi="Bookman Old Style" w:cs="Arial"/>
              </w:rPr>
              <w:t>.</w:t>
            </w:r>
          </w:p>
        </w:tc>
        <w:tc>
          <w:tcPr>
            <w:tcW w:w="4414" w:type="dxa"/>
          </w:tcPr>
          <w:p w:rsidR="005B56B0" w:rsidRDefault="005B56B0" w:rsidP="0027730B">
            <w:pPr>
              <w:pStyle w:val="Sinespaciado"/>
              <w:tabs>
                <w:tab w:val="left" w:pos="8055"/>
              </w:tabs>
              <w:jc w:val="center"/>
              <w:rPr>
                <w:rFonts w:ascii="Bookman Old Style" w:hAnsi="Bookman Old Style" w:cs="Arial"/>
                <w:b/>
              </w:rPr>
            </w:pPr>
          </w:p>
          <w:p w:rsidR="005B56B0" w:rsidRDefault="005B56B0" w:rsidP="0027730B">
            <w:pPr>
              <w:pStyle w:val="Sinespaciado"/>
              <w:tabs>
                <w:tab w:val="left" w:pos="8055"/>
              </w:tabs>
              <w:jc w:val="center"/>
              <w:rPr>
                <w:rFonts w:ascii="Bookman Old Style" w:hAnsi="Bookman Old Style" w:cs="Arial"/>
                <w:b/>
              </w:rPr>
            </w:pPr>
          </w:p>
          <w:p w:rsidR="005B56B0" w:rsidRDefault="005B56B0" w:rsidP="0027730B">
            <w:pPr>
              <w:pStyle w:val="Sinespaciado"/>
              <w:tabs>
                <w:tab w:val="left" w:pos="8055"/>
              </w:tabs>
              <w:jc w:val="center"/>
              <w:rPr>
                <w:rFonts w:ascii="Bookman Old Style" w:hAnsi="Bookman Old Style" w:cs="Arial"/>
                <w:b/>
              </w:rPr>
            </w:pPr>
          </w:p>
          <w:p w:rsidR="005B56B0" w:rsidRDefault="005B56B0" w:rsidP="0027730B">
            <w:pPr>
              <w:pStyle w:val="Sinespaciado"/>
              <w:tabs>
                <w:tab w:val="left" w:pos="8055"/>
              </w:tabs>
              <w:rPr>
                <w:rFonts w:ascii="Bookman Old Style" w:hAnsi="Bookman Old Style" w:cs="Arial"/>
                <w:b/>
              </w:rPr>
            </w:pPr>
          </w:p>
          <w:p w:rsidR="005B56B0" w:rsidRPr="00F46028" w:rsidRDefault="005B56B0" w:rsidP="0027730B">
            <w:pPr>
              <w:pStyle w:val="Sinespaciado"/>
              <w:tabs>
                <w:tab w:val="left" w:pos="8055"/>
              </w:tabs>
              <w:jc w:val="center"/>
              <w:rPr>
                <w:rFonts w:ascii="Bookman Old Style" w:hAnsi="Bookman Old Style" w:cs="Arial"/>
                <w:b/>
              </w:rPr>
            </w:pPr>
            <w:r>
              <w:rPr>
                <w:rFonts w:ascii="Bookman Old Style" w:hAnsi="Bookman Old Style" w:cs="Arial"/>
                <w:b/>
              </w:rPr>
              <w:t>JORGE ELIECER TAMAYO</w:t>
            </w:r>
          </w:p>
          <w:p w:rsidR="005B56B0" w:rsidRPr="00F46028" w:rsidRDefault="005B56B0" w:rsidP="0027730B">
            <w:pPr>
              <w:pStyle w:val="Sinespaciado"/>
              <w:tabs>
                <w:tab w:val="left" w:pos="8055"/>
              </w:tabs>
              <w:jc w:val="center"/>
              <w:rPr>
                <w:rFonts w:ascii="Bookman Old Style" w:hAnsi="Bookman Old Style" w:cs="Arial"/>
              </w:rPr>
            </w:pPr>
            <w:r w:rsidRPr="00F46028">
              <w:rPr>
                <w:rFonts w:ascii="Bookman Old Style" w:hAnsi="Bookman Old Style" w:cs="Arial"/>
              </w:rPr>
              <w:t>Representante a la Cámara</w:t>
            </w:r>
            <w:r>
              <w:rPr>
                <w:rFonts w:ascii="Bookman Old Style" w:hAnsi="Bookman Old Style" w:cs="Arial"/>
              </w:rPr>
              <w:t>.</w:t>
            </w:r>
          </w:p>
          <w:p w:rsidR="005B56B0" w:rsidRDefault="005B56B0" w:rsidP="0027730B">
            <w:pPr>
              <w:contextualSpacing/>
              <w:jc w:val="center"/>
              <w:rPr>
                <w:rFonts w:ascii="Bookman Old Style" w:hAnsi="Bookman Old Style"/>
                <w:color w:val="000000" w:themeColor="text1"/>
              </w:rPr>
            </w:pPr>
            <w:r w:rsidRPr="00F46028">
              <w:rPr>
                <w:rFonts w:ascii="Bookman Old Style" w:hAnsi="Bookman Old Style" w:cs="Arial"/>
              </w:rPr>
              <w:t>Ponente</w:t>
            </w:r>
            <w:r>
              <w:rPr>
                <w:rFonts w:ascii="Bookman Old Style" w:hAnsi="Bookman Old Style" w:cs="Arial"/>
              </w:rPr>
              <w:t>.</w:t>
            </w:r>
          </w:p>
        </w:tc>
      </w:tr>
      <w:tr w:rsidR="005B56B0" w:rsidTr="0027730B">
        <w:tc>
          <w:tcPr>
            <w:tcW w:w="4414" w:type="dxa"/>
          </w:tcPr>
          <w:p w:rsidR="005B56B0" w:rsidRDefault="005B56B0" w:rsidP="0027730B">
            <w:pPr>
              <w:pStyle w:val="Sinespaciado"/>
              <w:tabs>
                <w:tab w:val="left" w:pos="8055"/>
              </w:tabs>
              <w:jc w:val="center"/>
              <w:rPr>
                <w:rFonts w:ascii="Bookman Old Style" w:hAnsi="Bookman Old Style" w:cs="Arial"/>
                <w:b/>
              </w:rPr>
            </w:pPr>
          </w:p>
          <w:p w:rsidR="005B56B0" w:rsidRDefault="005B56B0" w:rsidP="0027730B">
            <w:pPr>
              <w:pStyle w:val="Sinespaciado"/>
              <w:tabs>
                <w:tab w:val="left" w:pos="8055"/>
              </w:tabs>
              <w:jc w:val="center"/>
              <w:rPr>
                <w:rFonts w:ascii="Bookman Old Style" w:hAnsi="Bookman Old Style" w:cs="Arial"/>
                <w:b/>
              </w:rPr>
            </w:pPr>
          </w:p>
          <w:p w:rsidR="005B56B0" w:rsidRDefault="005B56B0" w:rsidP="0027730B">
            <w:pPr>
              <w:pStyle w:val="Sinespaciado"/>
              <w:tabs>
                <w:tab w:val="left" w:pos="8055"/>
              </w:tabs>
              <w:jc w:val="center"/>
              <w:rPr>
                <w:rFonts w:ascii="Bookman Old Style" w:hAnsi="Bookman Old Style" w:cs="Arial"/>
                <w:b/>
              </w:rPr>
            </w:pPr>
          </w:p>
          <w:p w:rsidR="005B56B0" w:rsidRDefault="005B56B0" w:rsidP="0027730B">
            <w:pPr>
              <w:pStyle w:val="Sinespaciado"/>
              <w:tabs>
                <w:tab w:val="left" w:pos="8055"/>
              </w:tabs>
              <w:jc w:val="center"/>
              <w:rPr>
                <w:rFonts w:ascii="Bookman Old Style" w:hAnsi="Bookman Old Style" w:cs="Arial"/>
                <w:b/>
              </w:rPr>
            </w:pPr>
          </w:p>
          <w:p w:rsidR="005B56B0" w:rsidRPr="00F46028" w:rsidRDefault="005B56B0" w:rsidP="0027730B">
            <w:pPr>
              <w:pStyle w:val="Sinespaciado"/>
              <w:tabs>
                <w:tab w:val="left" w:pos="8055"/>
              </w:tabs>
              <w:jc w:val="center"/>
              <w:rPr>
                <w:rFonts w:ascii="Bookman Old Style" w:hAnsi="Bookman Old Style" w:cs="Arial"/>
                <w:b/>
              </w:rPr>
            </w:pPr>
            <w:r>
              <w:rPr>
                <w:rFonts w:ascii="Bookman Old Style" w:hAnsi="Bookman Old Style" w:cs="Arial"/>
                <w:b/>
              </w:rPr>
              <w:t>DIOGENES QUINTERO AMAYA</w:t>
            </w:r>
          </w:p>
          <w:p w:rsidR="005B56B0" w:rsidRPr="00F46028" w:rsidRDefault="005B56B0" w:rsidP="0027730B">
            <w:pPr>
              <w:pStyle w:val="Sinespaciado"/>
              <w:tabs>
                <w:tab w:val="left" w:pos="8055"/>
              </w:tabs>
              <w:jc w:val="center"/>
              <w:rPr>
                <w:rFonts w:ascii="Bookman Old Style" w:hAnsi="Bookman Old Style" w:cs="Arial"/>
              </w:rPr>
            </w:pPr>
            <w:r w:rsidRPr="00F46028">
              <w:rPr>
                <w:rFonts w:ascii="Bookman Old Style" w:hAnsi="Bookman Old Style" w:cs="Arial"/>
              </w:rPr>
              <w:t>Representante a la Cámara</w:t>
            </w:r>
            <w:r>
              <w:rPr>
                <w:rFonts w:ascii="Bookman Old Style" w:hAnsi="Bookman Old Style" w:cs="Arial"/>
              </w:rPr>
              <w:t>.</w:t>
            </w:r>
          </w:p>
          <w:p w:rsidR="005B56B0" w:rsidRDefault="005B56B0" w:rsidP="0027730B">
            <w:pPr>
              <w:contextualSpacing/>
              <w:jc w:val="center"/>
              <w:rPr>
                <w:rFonts w:ascii="Bookman Old Style" w:hAnsi="Bookman Old Style"/>
                <w:color w:val="000000" w:themeColor="text1"/>
              </w:rPr>
            </w:pPr>
            <w:r w:rsidRPr="00F46028">
              <w:rPr>
                <w:rFonts w:ascii="Bookman Old Style" w:hAnsi="Bookman Old Style" w:cs="Arial"/>
              </w:rPr>
              <w:t>Ponente</w:t>
            </w:r>
            <w:r>
              <w:rPr>
                <w:rFonts w:ascii="Bookman Old Style" w:hAnsi="Bookman Old Style" w:cs="Arial"/>
              </w:rPr>
              <w:t>.</w:t>
            </w:r>
          </w:p>
        </w:tc>
        <w:tc>
          <w:tcPr>
            <w:tcW w:w="4414" w:type="dxa"/>
          </w:tcPr>
          <w:p w:rsidR="005B56B0" w:rsidRDefault="005B56B0" w:rsidP="0027730B">
            <w:pPr>
              <w:pStyle w:val="Sinespaciado"/>
              <w:tabs>
                <w:tab w:val="left" w:pos="8055"/>
              </w:tabs>
              <w:jc w:val="center"/>
              <w:rPr>
                <w:rFonts w:ascii="Bookman Old Style" w:hAnsi="Bookman Old Style" w:cs="Arial"/>
                <w:b/>
              </w:rPr>
            </w:pPr>
          </w:p>
          <w:p w:rsidR="005B56B0" w:rsidRDefault="005B56B0" w:rsidP="0027730B">
            <w:pPr>
              <w:pStyle w:val="Sinespaciado"/>
              <w:tabs>
                <w:tab w:val="left" w:pos="8055"/>
              </w:tabs>
              <w:jc w:val="center"/>
              <w:rPr>
                <w:rFonts w:ascii="Bookman Old Style" w:hAnsi="Bookman Old Style" w:cs="Arial"/>
                <w:b/>
              </w:rPr>
            </w:pPr>
          </w:p>
          <w:p w:rsidR="005B56B0" w:rsidRDefault="005B56B0" w:rsidP="0027730B">
            <w:pPr>
              <w:pStyle w:val="Sinespaciado"/>
              <w:tabs>
                <w:tab w:val="left" w:pos="8055"/>
              </w:tabs>
              <w:jc w:val="center"/>
              <w:rPr>
                <w:rFonts w:ascii="Bookman Old Style" w:hAnsi="Bookman Old Style" w:cs="Arial"/>
                <w:b/>
              </w:rPr>
            </w:pPr>
          </w:p>
          <w:p w:rsidR="005B56B0" w:rsidRDefault="005B56B0" w:rsidP="0027730B">
            <w:pPr>
              <w:pStyle w:val="Sinespaciado"/>
              <w:tabs>
                <w:tab w:val="left" w:pos="8055"/>
              </w:tabs>
              <w:jc w:val="center"/>
              <w:rPr>
                <w:rFonts w:ascii="Bookman Old Style" w:hAnsi="Bookman Old Style" w:cs="Arial"/>
                <w:b/>
              </w:rPr>
            </w:pPr>
          </w:p>
          <w:p w:rsidR="005B56B0" w:rsidRPr="00F46028" w:rsidRDefault="005B56B0" w:rsidP="0027730B">
            <w:pPr>
              <w:pStyle w:val="Sinespaciado"/>
              <w:tabs>
                <w:tab w:val="left" w:pos="8055"/>
              </w:tabs>
              <w:jc w:val="center"/>
              <w:rPr>
                <w:rFonts w:ascii="Bookman Old Style" w:hAnsi="Bookman Old Style" w:cs="Arial"/>
                <w:b/>
              </w:rPr>
            </w:pPr>
            <w:r>
              <w:rPr>
                <w:rFonts w:ascii="Bookman Old Style" w:hAnsi="Bookman Old Style" w:cs="Arial"/>
                <w:b/>
              </w:rPr>
              <w:t>JUAN DANIEL PEÑUELA CALVACHE</w:t>
            </w:r>
          </w:p>
          <w:p w:rsidR="005B56B0" w:rsidRPr="00F46028" w:rsidRDefault="005B56B0" w:rsidP="0027730B">
            <w:pPr>
              <w:pStyle w:val="Sinespaciado"/>
              <w:tabs>
                <w:tab w:val="left" w:pos="8055"/>
              </w:tabs>
              <w:jc w:val="center"/>
              <w:rPr>
                <w:rFonts w:ascii="Bookman Old Style" w:hAnsi="Bookman Old Style" w:cs="Arial"/>
              </w:rPr>
            </w:pPr>
            <w:r w:rsidRPr="00F46028">
              <w:rPr>
                <w:rFonts w:ascii="Bookman Old Style" w:hAnsi="Bookman Old Style" w:cs="Arial"/>
              </w:rPr>
              <w:t>Representante a la Cámara</w:t>
            </w:r>
            <w:r>
              <w:rPr>
                <w:rFonts w:ascii="Bookman Old Style" w:hAnsi="Bookman Old Style" w:cs="Arial"/>
              </w:rPr>
              <w:t>.</w:t>
            </w:r>
          </w:p>
          <w:p w:rsidR="005B56B0" w:rsidRDefault="005B56B0" w:rsidP="0027730B">
            <w:pPr>
              <w:contextualSpacing/>
              <w:jc w:val="center"/>
              <w:rPr>
                <w:rFonts w:ascii="Bookman Old Style" w:hAnsi="Bookman Old Style"/>
                <w:color w:val="000000" w:themeColor="text1"/>
              </w:rPr>
            </w:pPr>
            <w:r w:rsidRPr="00F46028">
              <w:rPr>
                <w:rFonts w:ascii="Bookman Old Style" w:hAnsi="Bookman Old Style" w:cs="Arial"/>
              </w:rPr>
              <w:t>Ponente</w:t>
            </w:r>
            <w:r>
              <w:rPr>
                <w:rFonts w:ascii="Bookman Old Style" w:hAnsi="Bookman Old Style" w:cs="Arial"/>
              </w:rPr>
              <w:t>.</w:t>
            </w:r>
          </w:p>
        </w:tc>
      </w:tr>
      <w:tr w:rsidR="005B56B0" w:rsidTr="0027730B">
        <w:trPr>
          <w:trHeight w:val="1039"/>
        </w:trPr>
        <w:tc>
          <w:tcPr>
            <w:tcW w:w="4414" w:type="dxa"/>
          </w:tcPr>
          <w:p w:rsidR="005B56B0" w:rsidRDefault="005B56B0" w:rsidP="0027730B">
            <w:pPr>
              <w:pStyle w:val="Sinespaciado"/>
              <w:tabs>
                <w:tab w:val="left" w:pos="8055"/>
              </w:tabs>
              <w:jc w:val="center"/>
              <w:rPr>
                <w:rFonts w:ascii="Bookman Old Style" w:hAnsi="Bookman Old Style" w:cs="Arial"/>
                <w:b/>
              </w:rPr>
            </w:pPr>
          </w:p>
          <w:p w:rsidR="005B56B0" w:rsidRDefault="005B56B0" w:rsidP="0027730B">
            <w:pPr>
              <w:pStyle w:val="Sinespaciado"/>
              <w:tabs>
                <w:tab w:val="left" w:pos="8055"/>
              </w:tabs>
              <w:rPr>
                <w:rFonts w:ascii="Bookman Old Style" w:hAnsi="Bookman Old Style" w:cs="Arial"/>
                <w:b/>
              </w:rPr>
            </w:pPr>
          </w:p>
          <w:p w:rsidR="005B56B0" w:rsidRDefault="005B56B0" w:rsidP="0027730B">
            <w:pPr>
              <w:pStyle w:val="Sinespaciado"/>
              <w:tabs>
                <w:tab w:val="left" w:pos="8055"/>
              </w:tabs>
              <w:jc w:val="center"/>
              <w:rPr>
                <w:rFonts w:ascii="Bookman Old Style" w:hAnsi="Bookman Old Style" w:cs="Arial"/>
                <w:b/>
              </w:rPr>
            </w:pPr>
          </w:p>
          <w:p w:rsidR="005B56B0" w:rsidRDefault="005B56B0" w:rsidP="0027730B">
            <w:pPr>
              <w:pStyle w:val="Sinespaciado"/>
              <w:tabs>
                <w:tab w:val="left" w:pos="8055"/>
              </w:tabs>
              <w:jc w:val="center"/>
              <w:rPr>
                <w:rFonts w:ascii="Bookman Old Style" w:hAnsi="Bookman Old Style" w:cs="Arial"/>
                <w:b/>
              </w:rPr>
            </w:pPr>
            <w:r>
              <w:rPr>
                <w:rFonts w:ascii="Bookman Old Style" w:hAnsi="Bookman Old Style" w:cs="Arial"/>
                <w:b/>
              </w:rPr>
              <w:t xml:space="preserve">CARLOS ADOLFO ARDILA </w:t>
            </w:r>
          </w:p>
          <w:p w:rsidR="005B56B0" w:rsidRPr="005B56B0" w:rsidRDefault="005B56B0" w:rsidP="0027730B">
            <w:pPr>
              <w:pStyle w:val="Sinespaciado"/>
              <w:tabs>
                <w:tab w:val="left" w:pos="8055"/>
              </w:tabs>
              <w:jc w:val="center"/>
              <w:rPr>
                <w:rFonts w:ascii="Bookman Old Style" w:hAnsi="Bookman Old Style" w:cs="Arial"/>
              </w:rPr>
            </w:pPr>
            <w:r w:rsidRPr="005B56B0">
              <w:rPr>
                <w:rFonts w:ascii="Bookman Old Style" w:hAnsi="Bookman Old Style" w:cs="Arial"/>
              </w:rPr>
              <w:t>Representante a la Cámara.</w:t>
            </w:r>
          </w:p>
          <w:p w:rsidR="005B56B0" w:rsidRDefault="005B56B0" w:rsidP="0027730B">
            <w:pPr>
              <w:pStyle w:val="Sinespaciado"/>
              <w:tabs>
                <w:tab w:val="left" w:pos="8055"/>
              </w:tabs>
              <w:jc w:val="center"/>
              <w:rPr>
                <w:rFonts w:ascii="Bookman Old Style" w:hAnsi="Bookman Old Style" w:cs="Arial"/>
                <w:b/>
              </w:rPr>
            </w:pPr>
            <w:r w:rsidRPr="005B56B0">
              <w:rPr>
                <w:rFonts w:ascii="Bookman Old Style" w:hAnsi="Bookman Old Style" w:cs="Arial"/>
              </w:rPr>
              <w:t>Ponente</w:t>
            </w:r>
          </w:p>
        </w:tc>
        <w:tc>
          <w:tcPr>
            <w:tcW w:w="4414" w:type="dxa"/>
          </w:tcPr>
          <w:p w:rsidR="005B56B0" w:rsidRDefault="005B56B0" w:rsidP="0027730B">
            <w:pPr>
              <w:pStyle w:val="Sinespaciado"/>
              <w:tabs>
                <w:tab w:val="left" w:pos="8055"/>
              </w:tabs>
              <w:jc w:val="center"/>
              <w:rPr>
                <w:rFonts w:ascii="Bookman Old Style" w:hAnsi="Bookman Old Style" w:cs="Arial"/>
                <w:b/>
              </w:rPr>
            </w:pPr>
          </w:p>
        </w:tc>
      </w:tr>
    </w:tbl>
    <w:p w:rsidR="005B56B0" w:rsidRPr="006D714A" w:rsidRDefault="005B56B0" w:rsidP="005B56B0">
      <w:pPr>
        <w:jc w:val="both"/>
        <w:rPr>
          <w:rFonts w:ascii="Bookman Old Style" w:hAnsi="Bookman Old Style" w:cs="Arial"/>
        </w:rPr>
      </w:pPr>
    </w:p>
    <w:p w:rsidR="00014699" w:rsidRDefault="00014699" w:rsidP="00014699">
      <w:pPr>
        <w:jc w:val="both"/>
        <w:rPr>
          <w:rFonts w:ascii="Bookman Old Style" w:hAnsi="Bookman Old Style" w:cs="Arial"/>
        </w:rPr>
      </w:pPr>
    </w:p>
    <w:p w:rsidR="007E2A01" w:rsidRPr="00014699" w:rsidRDefault="00014699" w:rsidP="00014699">
      <w:pPr>
        <w:widowControl/>
        <w:spacing w:after="160" w:line="259" w:lineRule="auto"/>
        <w:rPr>
          <w:rFonts w:ascii="Bookman Old Style" w:hAnsi="Bookman Old Style" w:cs="Arial"/>
        </w:rPr>
      </w:pPr>
      <w:r>
        <w:rPr>
          <w:rFonts w:ascii="Bookman Old Style" w:hAnsi="Bookman Old Style" w:cs="Arial"/>
        </w:rPr>
        <w:br w:type="page"/>
      </w:r>
    </w:p>
    <w:p w:rsidR="007E2A01" w:rsidRDefault="007E2A01" w:rsidP="007E2A01">
      <w:pPr>
        <w:rPr>
          <w:rFonts w:eastAsia="Calibri"/>
        </w:rPr>
      </w:pPr>
    </w:p>
    <w:p w:rsidR="007E2A01" w:rsidRPr="007039DA" w:rsidRDefault="007E2A01" w:rsidP="007E2A01">
      <w:pPr>
        <w:rPr>
          <w:rFonts w:eastAsia="Calibri"/>
        </w:rPr>
      </w:pPr>
    </w:p>
    <w:p w:rsidR="007E2A01" w:rsidRDefault="007E2A01" w:rsidP="007E2A01">
      <w:pPr>
        <w:pStyle w:val="Ttulo2"/>
        <w:numPr>
          <w:ilvl w:val="0"/>
          <w:numId w:val="35"/>
        </w:numPr>
        <w:jc w:val="center"/>
        <w:rPr>
          <w:rFonts w:ascii="Bookman Old Style" w:eastAsia="Calibri" w:hAnsi="Bookman Old Style" w:cs="Calibri"/>
          <w:sz w:val="22"/>
          <w:szCs w:val="22"/>
        </w:rPr>
      </w:pPr>
      <w:r>
        <w:rPr>
          <w:rFonts w:ascii="Bookman Old Style" w:eastAsia="Calibri" w:hAnsi="Bookman Old Style" w:cs="Calibri"/>
          <w:sz w:val="22"/>
          <w:szCs w:val="22"/>
        </w:rPr>
        <w:t xml:space="preserve">TEXTO PROPUESTO PARA </w:t>
      </w:r>
      <w:r w:rsidR="00D669BB">
        <w:rPr>
          <w:rFonts w:ascii="Bookman Old Style" w:eastAsia="Calibri" w:hAnsi="Bookman Old Style" w:cs="Calibri"/>
          <w:sz w:val="22"/>
          <w:szCs w:val="22"/>
        </w:rPr>
        <w:t>SEGUNDO</w:t>
      </w:r>
      <w:r w:rsidR="00043C11">
        <w:rPr>
          <w:rFonts w:ascii="Bookman Old Style" w:eastAsia="Calibri" w:hAnsi="Bookman Old Style" w:cs="Calibri"/>
          <w:sz w:val="22"/>
          <w:szCs w:val="22"/>
        </w:rPr>
        <w:t xml:space="preserve"> DEBATE EN SEGUNDA</w:t>
      </w:r>
      <w:r>
        <w:rPr>
          <w:rFonts w:ascii="Bookman Old Style" w:eastAsia="Calibri" w:hAnsi="Bookman Old Style" w:cs="Calibri"/>
          <w:sz w:val="22"/>
          <w:szCs w:val="22"/>
        </w:rPr>
        <w:t xml:space="preserve"> VUELTA AL PROYECTO DE ACTO LEGISLATIVO NÚMERO 002 DE 2022 CÁMARA</w:t>
      </w:r>
      <w:r w:rsidR="00043C11">
        <w:rPr>
          <w:rFonts w:ascii="Bookman Old Style" w:eastAsia="Calibri" w:hAnsi="Bookman Old Style" w:cs="Calibri"/>
          <w:sz w:val="22"/>
          <w:szCs w:val="22"/>
        </w:rPr>
        <w:t xml:space="preserve"> // 033 DE 2022 SENADO</w:t>
      </w:r>
      <w:r>
        <w:rPr>
          <w:rFonts w:ascii="Bookman Old Style" w:eastAsia="Calibri" w:hAnsi="Bookman Old Style" w:cs="Calibri"/>
          <w:sz w:val="22"/>
          <w:szCs w:val="22"/>
        </w:rPr>
        <w:t xml:space="preserve">. </w:t>
      </w:r>
    </w:p>
    <w:p w:rsidR="007E2A01" w:rsidRDefault="007E2A01" w:rsidP="007E2A01">
      <w:pPr>
        <w:pStyle w:val="Ttulo2"/>
        <w:ind w:left="360"/>
        <w:jc w:val="center"/>
        <w:rPr>
          <w:rFonts w:ascii="Bookman Old Style" w:eastAsia="Calibri" w:hAnsi="Bookman Old Style" w:cs="Calibri"/>
          <w:b w:val="0"/>
          <w:bCs/>
          <w:i/>
          <w:iCs/>
          <w:sz w:val="22"/>
          <w:szCs w:val="22"/>
        </w:rPr>
      </w:pPr>
      <w:r w:rsidRPr="007039DA">
        <w:rPr>
          <w:rFonts w:ascii="Bookman Old Style" w:eastAsia="Calibri" w:hAnsi="Bookman Old Style" w:cs="Calibri"/>
          <w:b w:val="0"/>
          <w:bCs/>
          <w:i/>
          <w:iCs/>
          <w:sz w:val="22"/>
          <w:szCs w:val="22"/>
        </w:rPr>
        <w:t>“Por medio del cual se modifica el artículo 49 de la Con</w:t>
      </w:r>
      <w:r>
        <w:rPr>
          <w:rFonts w:ascii="Bookman Old Style" w:eastAsia="Calibri" w:hAnsi="Bookman Old Style" w:cs="Calibri"/>
          <w:b w:val="0"/>
          <w:bCs/>
          <w:i/>
          <w:iCs/>
          <w:sz w:val="22"/>
          <w:szCs w:val="22"/>
        </w:rPr>
        <w:t>stitución Política de Colombia,</w:t>
      </w:r>
      <w:r w:rsidRPr="007039DA">
        <w:rPr>
          <w:rFonts w:ascii="Bookman Old Style" w:eastAsia="Calibri" w:hAnsi="Bookman Old Style" w:cs="Calibri"/>
          <w:b w:val="0"/>
          <w:bCs/>
          <w:i/>
          <w:iCs/>
          <w:sz w:val="22"/>
          <w:szCs w:val="22"/>
        </w:rPr>
        <w:t xml:space="preserve"> se regulariza el cannabis de uso adulto</w:t>
      </w:r>
      <w:r>
        <w:rPr>
          <w:rFonts w:ascii="Bookman Old Style" w:eastAsia="Calibri" w:hAnsi="Bookman Old Style" w:cs="Calibri"/>
          <w:b w:val="0"/>
          <w:bCs/>
          <w:i/>
          <w:iCs/>
          <w:sz w:val="22"/>
          <w:szCs w:val="22"/>
        </w:rPr>
        <w:t xml:space="preserve"> y se dictan otras disposiciones</w:t>
      </w:r>
      <w:r w:rsidRPr="007039DA">
        <w:rPr>
          <w:rFonts w:ascii="Bookman Old Style" w:eastAsia="Calibri" w:hAnsi="Bookman Old Style" w:cs="Calibri"/>
          <w:b w:val="0"/>
          <w:bCs/>
          <w:i/>
          <w:iCs/>
          <w:sz w:val="22"/>
          <w:szCs w:val="22"/>
        </w:rPr>
        <w:t>”.</w:t>
      </w:r>
    </w:p>
    <w:p w:rsidR="007E2A01" w:rsidRPr="007039DA" w:rsidRDefault="007E2A01" w:rsidP="007E2A01">
      <w:pPr>
        <w:rPr>
          <w:rFonts w:eastAsia="Calibri"/>
        </w:rPr>
      </w:pPr>
    </w:p>
    <w:p w:rsidR="007E2A01" w:rsidRPr="00485CC5" w:rsidRDefault="007E2A01" w:rsidP="007E2A01">
      <w:pPr>
        <w:pStyle w:val="NormalWeb"/>
        <w:shd w:val="clear" w:color="auto" w:fill="FFFFFF"/>
        <w:spacing w:before="150" w:beforeAutospacing="0" w:after="150" w:afterAutospacing="0" w:line="338" w:lineRule="atLeast"/>
        <w:jc w:val="center"/>
        <w:rPr>
          <w:rFonts w:ascii="Bookman Old Style" w:hAnsi="Bookman Old Style" w:cs="Calibri"/>
          <w:sz w:val="22"/>
          <w:szCs w:val="22"/>
        </w:rPr>
      </w:pPr>
      <w:r w:rsidRPr="00485CC5">
        <w:rPr>
          <w:rStyle w:val="Textoennegrita"/>
          <w:rFonts w:ascii="Bookman Old Style" w:hAnsi="Bookman Old Style" w:cs="Calibri"/>
          <w:sz w:val="22"/>
          <w:szCs w:val="22"/>
        </w:rPr>
        <w:t>EL CONGRESO DE COLOMBIA</w:t>
      </w:r>
    </w:p>
    <w:p w:rsidR="007E2A01" w:rsidRPr="00485CC5" w:rsidRDefault="007E2A01" w:rsidP="007E2A01">
      <w:pPr>
        <w:pStyle w:val="NormalWeb"/>
        <w:shd w:val="clear" w:color="auto" w:fill="FFFFFF"/>
        <w:spacing w:before="150" w:beforeAutospacing="0" w:after="150" w:afterAutospacing="0" w:line="338" w:lineRule="atLeast"/>
        <w:jc w:val="center"/>
        <w:rPr>
          <w:rFonts w:ascii="Bookman Old Style" w:hAnsi="Bookman Old Style" w:cs="Calibri"/>
          <w:sz w:val="22"/>
          <w:szCs w:val="22"/>
        </w:rPr>
      </w:pPr>
      <w:r w:rsidRPr="00485CC5">
        <w:rPr>
          <w:rStyle w:val="Textoennegrita"/>
          <w:rFonts w:ascii="Bookman Old Style" w:hAnsi="Bookman Old Style" w:cs="Calibri"/>
          <w:sz w:val="22"/>
          <w:szCs w:val="22"/>
        </w:rPr>
        <w:t>DECRETA:</w:t>
      </w:r>
    </w:p>
    <w:p w:rsidR="007E2A01" w:rsidRPr="009578B2" w:rsidRDefault="007E2A01" w:rsidP="007E2A01">
      <w:pPr>
        <w:pStyle w:val="centrado"/>
        <w:spacing w:line="270" w:lineRule="atLeast"/>
        <w:jc w:val="both"/>
        <w:rPr>
          <w:rFonts w:ascii="Bookman Old Style" w:hAnsi="Bookman Old Style" w:cs="Calibri"/>
          <w:sz w:val="22"/>
          <w:szCs w:val="22"/>
        </w:rPr>
      </w:pPr>
      <w:r w:rsidRPr="009578B2">
        <w:rPr>
          <w:rFonts w:ascii="Bookman Old Style" w:hAnsi="Bookman Old Style" w:cs="Calibri"/>
          <w:b/>
          <w:bCs/>
        </w:rPr>
        <w:t>ARTÍCULO</w:t>
      </w:r>
      <w:r w:rsidRPr="009578B2">
        <w:rPr>
          <w:rFonts w:ascii="Bookman Old Style" w:hAnsi="Bookman Old Style" w:cs="Calibri"/>
          <w:b/>
          <w:bCs/>
          <w:sz w:val="22"/>
          <w:szCs w:val="22"/>
        </w:rPr>
        <w:t xml:space="preserve"> 1º. </w:t>
      </w:r>
      <w:r w:rsidRPr="009578B2">
        <w:rPr>
          <w:rFonts w:ascii="Bookman Old Style" w:hAnsi="Bookman Old Style" w:cs="Calibri"/>
          <w:sz w:val="22"/>
          <w:szCs w:val="22"/>
        </w:rPr>
        <w:t xml:space="preserve">El artículo 49 de la Constitución Política quedará así: </w:t>
      </w:r>
    </w:p>
    <w:p w:rsidR="00043C11" w:rsidRPr="009578B2" w:rsidRDefault="007E2A01" w:rsidP="00043C11">
      <w:pPr>
        <w:pStyle w:val="centrado"/>
        <w:spacing w:before="0" w:beforeAutospacing="0"/>
        <w:ind w:left="708"/>
        <w:jc w:val="both"/>
        <w:rPr>
          <w:rFonts w:ascii="Bookman Old Style" w:hAnsi="Bookman Old Style" w:cs="Arial"/>
          <w:sz w:val="22"/>
          <w:szCs w:val="22"/>
        </w:rPr>
      </w:pPr>
      <w:r w:rsidRPr="009578B2">
        <w:rPr>
          <w:rFonts w:ascii="Bookman Old Style" w:hAnsi="Bookman Old Style" w:cs="Calibri"/>
          <w:b/>
          <w:bCs/>
        </w:rPr>
        <w:t>ARTÍCULO 49o.</w:t>
      </w:r>
      <w:r w:rsidRPr="009578B2">
        <w:rPr>
          <w:rFonts w:ascii="Bookman Old Style" w:hAnsi="Bookman Old Style" w:cs="Calibri"/>
        </w:rPr>
        <w:t xml:space="preserve"> </w:t>
      </w:r>
      <w:r w:rsidR="00043C11" w:rsidRPr="009578B2">
        <w:rPr>
          <w:rFonts w:ascii="Bookman Old Style" w:hAnsi="Bookman Old Style" w:cs="Arial"/>
          <w:sz w:val="22"/>
          <w:szCs w:val="22"/>
        </w:rPr>
        <w:t>La atención de la salud y el saneamiento ambiental son servicios públicos a cargo del Estado. Se garantiza a todas las personas el acceso a los servicios de promoción, protección y recuperación de la salud.</w:t>
      </w:r>
    </w:p>
    <w:p w:rsidR="00043C11" w:rsidRPr="009578B2" w:rsidRDefault="00043C11" w:rsidP="00043C11">
      <w:pPr>
        <w:spacing w:after="100" w:afterAutospacing="1"/>
        <w:ind w:left="708"/>
        <w:jc w:val="both"/>
        <w:rPr>
          <w:rFonts w:ascii="Bookman Old Style" w:hAnsi="Bookman Old Style" w:cs="Arial"/>
        </w:rPr>
      </w:pPr>
      <w:r w:rsidRPr="009578B2">
        <w:rPr>
          <w:rFonts w:ascii="Bookman Old Style" w:hAnsi="Bookman Old Style" w:cs="Arial"/>
        </w:rPr>
        <w:t>Corresponde al Estado organizar, dirigir y reglamentar la prestación de servicios de salud a los habitantes y de saneamiento ambiental conforme a los principios de eficiencia, universalidad y solidaridad. También, establecer las políticas para la prestación de servicios de salud por entidades privadas, y ejercer su vigilancia y control. Así mismo, establecer las competencias de la Nación, las entidades territoriales y los particulares y determinar los aportes a su cargo en los términos y condiciones señalados en la ley.</w:t>
      </w:r>
    </w:p>
    <w:p w:rsidR="00043C11" w:rsidRPr="009578B2" w:rsidRDefault="00043C11" w:rsidP="00043C11">
      <w:pPr>
        <w:spacing w:after="100" w:afterAutospacing="1"/>
        <w:ind w:left="708"/>
        <w:jc w:val="both"/>
        <w:rPr>
          <w:rFonts w:ascii="Bookman Old Style" w:hAnsi="Bookman Old Style" w:cs="Arial"/>
        </w:rPr>
      </w:pPr>
      <w:r w:rsidRPr="009578B2">
        <w:rPr>
          <w:rFonts w:ascii="Bookman Old Style" w:hAnsi="Bookman Old Style" w:cs="Arial"/>
        </w:rPr>
        <w:t>Los servicios de salud se organizarán en forma descentralizada, por niveles de atención y con participación de la comunidad.</w:t>
      </w:r>
    </w:p>
    <w:p w:rsidR="00043C11" w:rsidRPr="009578B2" w:rsidRDefault="00043C11" w:rsidP="00043C11">
      <w:pPr>
        <w:spacing w:after="100" w:afterAutospacing="1"/>
        <w:ind w:left="708"/>
        <w:jc w:val="both"/>
        <w:rPr>
          <w:rFonts w:ascii="Bookman Old Style" w:hAnsi="Bookman Old Style" w:cs="Arial"/>
        </w:rPr>
      </w:pPr>
      <w:r w:rsidRPr="009578B2">
        <w:rPr>
          <w:rFonts w:ascii="Bookman Old Style" w:hAnsi="Bookman Old Style" w:cs="Arial"/>
        </w:rPr>
        <w:t>La ley señalará los términos en los cuales la atención básica para todos los habitantes será gratuita y obligatoria.</w:t>
      </w:r>
    </w:p>
    <w:p w:rsidR="00043C11" w:rsidRPr="009578B2" w:rsidRDefault="00043C11" w:rsidP="00043C11">
      <w:pPr>
        <w:spacing w:after="100" w:afterAutospacing="1"/>
        <w:ind w:left="708"/>
        <w:jc w:val="both"/>
        <w:rPr>
          <w:rFonts w:ascii="Bookman Old Style" w:hAnsi="Bookman Old Style" w:cs="Arial"/>
        </w:rPr>
      </w:pPr>
      <w:r w:rsidRPr="009578B2">
        <w:rPr>
          <w:rFonts w:ascii="Bookman Old Style" w:hAnsi="Bookman Old Style" w:cs="Arial"/>
        </w:rPr>
        <w:t>Toda persona tiene el deber de procurar el cuidado integral de su salud y de su comunidad.</w:t>
      </w:r>
    </w:p>
    <w:p w:rsidR="009578B2" w:rsidRPr="009578B2" w:rsidRDefault="009578B2" w:rsidP="009578B2">
      <w:pPr>
        <w:spacing w:after="100" w:afterAutospacing="1"/>
        <w:ind w:left="708"/>
        <w:jc w:val="both"/>
        <w:rPr>
          <w:rFonts w:ascii="Bookman Old Style" w:hAnsi="Bookman Old Style" w:cs="Arial"/>
        </w:rPr>
      </w:pPr>
      <w:r w:rsidRPr="009578B2">
        <w:rPr>
          <w:rFonts w:ascii="Bookman Old Style" w:hAnsi="Bookman Old Style" w:cs="Arial"/>
        </w:rPr>
        <w:t xml:space="preserve">El porte y el consumo de sustancias psicoactivas no reguladas está prohibido, salvo con fines médicos y científicos. </w:t>
      </w:r>
    </w:p>
    <w:p w:rsidR="009578B2" w:rsidRPr="009578B2" w:rsidRDefault="009578B2" w:rsidP="009578B2">
      <w:pPr>
        <w:spacing w:after="100" w:afterAutospacing="1"/>
        <w:ind w:left="708"/>
        <w:jc w:val="both"/>
        <w:rPr>
          <w:rFonts w:ascii="Bookman Old Style" w:hAnsi="Bookman Old Style" w:cs="Arial"/>
        </w:rPr>
      </w:pPr>
      <w:r w:rsidRPr="009578B2">
        <w:rPr>
          <w:rFonts w:ascii="Bookman Old Style" w:hAnsi="Bookman Old Style" w:cs="Arial"/>
        </w:rPr>
        <w:t xml:space="preserve">La prohibición prevista en el inciso anterior no aplicará para el porte y consumo del cannabis y sus derivados por parte de mayores de edad. Tampoco aplicará para la producción, distribución, venta y comercialización </w:t>
      </w:r>
      <w:r w:rsidRPr="009578B2">
        <w:rPr>
          <w:rFonts w:ascii="Bookman Old Style" w:hAnsi="Bookman Old Style" w:cs="Arial"/>
          <w:bCs/>
        </w:rPr>
        <w:t>de esta sustancia</w:t>
      </w:r>
      <w:r w:rsidRPr="009578B2">
        <w:rPr>
          <w:rFonts w:ascii="Bookman Old Style" w:hAnsi="Bookman Old Style" w:cs="Arial"/>
        </w:rPr>
        <w:t xml:space="preserve"> con fines de uso adulto siempre y cuando se cuente con las licencias otorgadas por la autoridad competente.</w:t>
      </w:r>
    </w:p>
    <w:p w:rsidR="009578B2" w:rsidRPr="009578B2" w:rsidRDefault="009578B2" w:rsidP="009578B2">
      <w:pPr>
        <w:jc w:val="both"/>
        <w:rPr>
          <w:rFonts w:ascii="Bookman Old Style" w:hAnsi="Bookman Old Style" w:cs="Arial"/>
        </w:rPr>
      </w:pPr>
    </w:p>
    <w:p w:rsidR="009578B2" w:rsidRPr="009578B2" w:rsidRDefault="009578B2" w:rsidP="009578B2">
      <w:pPr>
        <w:ind w:left="708"/>
        <w:jc w:val="both"/>
        <w:rPr>
          <w:rFonts w:ascii="Bookman Old Style" w:hAnsi="Bookman Old Style"/>
          <w:bCs/>
          <w:color w:val="000000" w:themeColor="text1"/>
        </w:rPr>
      </w:pPr>
      <w:r w:rsidRPr="009578B2">
        <w:rPr>
          <w:rFonts w:ascii="Bookman Old Style" w:hAnsi="Bookman Old Style"/>
          <w:color w:val="000000" w:themeColor="text1"/>
        </w:rPr>
        <w:t xml:space="preserve">La ley </w:t>
      </w:r>
      <w:r w:rsidRPr="009578B2">
        <w:rPr>
          <w:rFonts w:ascii="Bookman Old Style" w:hAnsi="Bookman Old Style"/>
          <w:bCs/>
          <w:color w:val="000000" w:themeColor="text1"/>
        </w:rPr>
        <w:t>restringirá</w:t>
      </w:r>
      <w:r w:rsidRPr="009578B2">
        <w:rPr>
          <w:rFonts w:ascii="Bookman Old Style" w:hAnsi="Bookman Old Style"/>
          <w:color w:val="000000" w:themeColor="text1"/>
        </w:rPr>
        <w:t xml:space="preserve"> el consumo y comercialización </w:t>
      </w:r>
      <w:r w:rsidR="006312B8">
        <w:rPr>
          <w:rFonts w:ascii="Bookman Old Style" w:hAnsi="Bookman Old Style"/>
          <w:color w:val="000000" w:themeColor="text1"/>
        </w:rPr>
        <w:t>de cannabis y</w:t>
      </w:r>
      <w:r w:rsidRPr="009578B2">
        <w:rPr>
          <w:rFonts w:ascii="Bookman Old Style" w:hAnsi="Bookman Old Style"/>
          <w:color w:val="000000" w:themeColor="text1"/>
        </w:rPr>
        <w:t xml:space="preserve"> sus derivados </w:t>
      </w:r>
      <w:r w:rsidRPr="009578B2">
        <w:rPr>
          <w:rFonts w:ascii="Bookman Old Style" w:hAnsi="Bookman Old Style"/>
          <w:color w:val="000000" w:themeColor="text1"/>
        </w:rPr>
        <w:lastRenderedPageBreak/>
        <w:t>en entornos escolares</w:t>
      </w:r>
      <w:r w:rsidR="00336F76">
        <w:rPr>
          <w:rFonts w:ascii="Bookman Old Style" w:hAnsi="Bookman Old Style"/>
          <w:color w:val="000000" w:themeColor="text1"/>
        </w:rPr>
        <w:t>, en espacios de atención a la primera infancia</w:t>
      </w:r>
      <w:r w:rsidRPr="009578B2">
        <w:rPr>
          <w:rFonts w:ascii="Bookman Old Style" w:hAnsi="Bookman Old Style"/>
          <w:color w:val="000000" w:themeColor="text1"/>
        </w:rPr>
        <w:t xml:space="preserve"> </w:t>
      </w:r>
      <w:r w:rsidRPr="009578B2">
        <w:rPr>
          <w:rFonts w:ascii="Bookman Old Style" w:hAnsi="Bookman Old Style"/>
          <w:bCs/>
          <w:color w:val="000000" w:themeColor="text1"/>
        </w:rPr>
        <w:t>y al interior de toda institución educativa y/o instituciones de educación superior,</w:t>
      </w:r>
      <w:r w:rsidRPr="009578B2">
        <w:rPr>
          <w:rFonts w:ascii="Bookman Old Style" w:hAnsi="Bookman Old Style"/>
          <w:color w:val="000000" w:themeColor="text1"/>
        </w:rPr>
        <w:t xml:space="preserve"> y reglamentará el porte y consumo de cannabis y sus derivados en espacios públicos, recreativos, en espacios privados abiertos al público, zonas comunes, </w:t>
      </w:r>
      <w:r w:rsidRPr="009578B2">
        <w:rPr>
          <w:rFonts w:ascii="Bookman Old Style" w:hAnsi="Bookman Old Style"/>
          <w:bCs/>
          <w:color w:val="000000" w:themeColor="text1"/>
        </w:rPr>
        <w:t>entidades religiosas</w:t>
      </w:r>
      <w:r w:rsidR="006312B8">
        <w:rPr>
          <w:rFonts w:ascii="Bookman Old Style" w:hAnsi="Bookman Old Style"/>
          <w:bCs/>
          <w:color w:val="000000" w:themeColor="text1"/>
        </w:rPr>
        <w:t>,</w:t>
      </w:r>
      <w:r w:rsidR="006312B8">
        <w:rPr>
          <w:rFonts w:ascii="Bookman Old Style" w:hAnsi="Bookman Old Style"/>
          <w:color w:val="000000" w:themeColor="text1"/>
        </w:rPr>
        <w:t xml:space="preserve"> </w:t>
      </w:r>
      <w:r w:rsidRPr="009578B2">
        <w:rPr>
          <w:rFonts w:ascii="Bookman Old Style" w:hAnsi="Bookman Old Style"/>
          <w:color w:val="000000" w:themeColor="text1"/>
        </w:rPr>
        <w:t xml:space="preserve">establecimientos carcelarios y de rehabilitación, entre otros. </w:t>
      </w:r>
      <w:r w:rsidRPr="009578B2">
        <w:rPr>
          <w:rFonts w:ascii="Bookman Old Style" w:hAnsi="Bookman Old Style"/>
          <w:bCs/>
          <w:color w:val="000000" w:themeColor="text1"/>
        </w:rPr>
        <w:t xml:space="preserve">Del mismo modo, la ley establecerá medidas de control eficaces basadas en evidencia científica para proteger de manera integral a la niñez y la adolescencia y a la población en general para prevenir los daños asociados al consumo de cannabis. </w:t>
      </w:r>
    </w:p>
    <w:p w:rsidR="009578B2" w:rsidRPr="009578B2" w:rsidRDefault="009578B2" w:rsidP="009578B2">
      <w:pPr>
        <w:ind w:left="708"/>
        <w:jc w:val="both"/>
        <w:rPr>
          <w:rFonts w:ascii="Bookman Old Style" w:hAnsi="Bookman Old Style"/>
          <w:color w:val="FF0000"/>
        </w:rPr>
      </w:pPr>
    </w:p>
    <w:p w:rsidR="009578B2" w:rsidRPr="009578B2" w:rsidRDefault="009578B2" w:rsidP="009578B2">
      <w:pPr>
        <w:spacing w:after="100" w:afterAutospacing="1"/>
        <w:ind w:left="708"/>
        <w:jc w:val="both"/>
        <w:rPr>
          <w:rFonts w:ascii="Bookman Old Style" w:hAnsi="Bookman Old Style" w:cs="Arial"/>
        </w:rPr>
      </w:pPr>
      <w:r w:rsidRPr="009578B2">
        <w:rPr>
          <w:rFonts w:ascii="Bookman Old Style" w:hAnsi="Bookman Old Style" w:cs="Arial"/>
        </w:rPr>
        <w:t>Con fines preventivos y rehabilitadores la ley establecerá medidas y tratamientos de orden pedagógico, profiláctico o terapéutico para toda la población y en especial a las personas que consuman sustancias psicoactivas. El acceso a esas medidas y tratamientos requiere el consentimiento informado del consumidor.</w:t>
      </w:r>
    </w:p>
    <w:p w:rsidR="009578B2" w:rsidRPr="009578B2" w:rsidRDefault="009578B2" w:rsidP="009578B2">
      <w:pPr>
        <w:spacing w:after="100" w:afterAutospacing="1"/>
        <w:ind w:left="708"/>
        <w:jc w:val="both"/>
        <w:rPr>
          <w:rFonts w:ascii="Bookman Old Style" w:hAnsi="Bookman Old Style" w:cs="Arial"/>
        </w:rPr>
      </w:pPr>
      <w:r w:rsidRPr="009578B2">
        <w:rPr>
          <w:rFonts w:ascii="Bookman Old Style" w:hAnsi="Bookman Old Style" w:cs="Arial"/>
        </w:rPr>
        <w:t>El Estado atenderá con un enfoque de Derechos Humanos y de salud pública a toda la población procurando el cuidado integral de la salud de las personas y, por consiguiente, de la comunidad</w:t>
      </w:r>
      <w:r w:rsidRPr="009578B2">
        <w:rPr>
          <w:rFonts w:ascii="Bookman Old Style" w:hAnsi="Bookman Old Style" w:cs="Arial"/>
          <w:b/>
          <w:bCs/>
        </w:rPr>
        <w:t>.</w:t>
      </w:r>
      <w:r w:rsidRPr="009578B2">
        <w:rPr>
          <w:rFonts w:ascii="Bookman Old Style" w:hAnsi="Bookman Old Style" w:cs="Arial"/>
        </w:rPr>
        <w:t xml:space="preserve"> </w:t>
      </w:r>
      <w:r w:rsidRPr="009578B2">
        <w:rPr>
          <w:rFonts w:ascii="Bookman Old Style" w:hAnsi="Bookman Old Style" w:cs="Arial"/>
          <w:bCs/>
        </w:rPr>
        <w:t>Así mismo,</w:t>
      </w:r>
      <w:r w:rsidRPr="009578B2">
        <w:rPr>
          <w:rFonts w:ascii="Bookman Old Style" w:hAnsi="Bookman Old Style" w:cs="Arial"/>
        </w:rPr>
        <w:t xml:space="preserve"> </w:t>
      </w:r>
      <w:r w:rsidRPr="009578B2">
        <w:rPr>
          <w:rFonts w:ascii="Bookman Old Style" w:hAnsi="Bookman Old Style" w:cs="Arial"/>
          <w:bCs/>
        </w:rPr>
        <w:t>con el propósito de garantizar el goce del grado máximo de salud que se pueda lograr,</w:t>
      </w:r>
      <w:r w:rsidRPr="009578B2">
        <w:rPr>
          <w:rFonts w:ascii="Bookman Old Style" w:hAnsi="Bookman Old Style" w:cs="Arial"/>
        </w:rPr>
        <w:t xml:space="preserve"> </w:t>
      </w:r>
      <w:r w:rsidRPr="009578B2">
        <w:rPr>
          <w:rFonts w:ascii="Bookman Old Style" w:hAnsi="Bookman Old Style" w:cs="Arial"/>
          <w:bCs/>
        </w:rPr>
        <w:t>se</w:t>
      </w:r>
      <w:r w:rsidRPr="009578B2">
        <w:rPr>
          <w:rFonts w:ascii="Bookman Old Style" w:hAnsi="Bookman Old Style" w:cs="Arial"/>
        </w:rPr>
        <w:t xml:space="preserve"> desarrollará</w:t>
      </w:r>
      <w:r w:rsidRPr="009578B2">
        <w:rPr>
          <w:rFonts w:ascii="Bookman Old Style" w:hAnsi="Bookman Old Style" w:cs="Arial"/>
          <w:bCs/>
        </w:rPr>
        <w:t>n</w:t>
      </w:r>
      <w:r w:rsidRPr="009578B2">
        <w:rPr>
          <w:rFonts w:ascii="Bookman Old Style" w:hAnsi="Bookman Old Style" w:cs="Arial"/>
        </w:rPr>
        <w:t xml:space="preserve"> en forma permanente medidas y estrategias de prevención del consumo de sustancias psicoactivas </w:t>
      </w:r>
      <w:r w:rsidRPr="009578B2">
        <w:rPr>
          <w:rFonts w:ascii="Bookman Old Style" w:hAnsi="Bookman Old Style" w:cs="Arial"/>
          <w:bCs/>
        </w:rPr>
        <w:t>en cualquiera de sus formas</w:t>
      </w:r>
      <w:r w:rsidRPr="009578B2">
        <w:rPr>
          <w:rFonts w:ascii="Bookman Old Style" w:hAnsi="Bookman Old Style" w:cs="Arial"/>
        </w:rPr>
        <w:t xml:space="preserve">, principalmente en la niñez y la adolescencia, con apoyo al abandono del consumo e implementación de intervenciones </w:t>
      </w:r>
      <w:r w:rsidRPr="009578B2">
        <w:rPr>
          <w:rFonts w:ascii="Bookman Old Style" w:hAnsi="Bookman Old Style" w:cs="Arial"/>
          <w:bCs/>
        </w:rPr>
        <w:t>focalizadas para la</w:t>
      </w:r>
      <w:r w:rsidRPr="009578B2">
        <w:rPr>
          <w:rFonts w:ascii="Bookman Old Style" w:hAnsi="Bookman Old Style" w:cs="Arial"/>
        </w:rPr>
        <w:t xml:space="preserve"> reducción de riesgos y daños en favor de los consumidores. </w:t>
      </w:r>
    </w:p>
    <w:p w:rsidR="009578B2" w:rsidRPr="009578B2" w:rsidRDefault="009578B2" w:rsidP="009578B2">
      <w:pPr>
        <w:spacing w:after="100" w:afterAutospacing="1"/>
        <w:ind w:left="708"/>
        <w:jc w:val="both"/>
        <w:rPr>
          <w:rFonts w:ascii="Bookman Old Style" w:eastAsia="Arial Narrow" w:hAnsi="Bookman Old Style" w:cs="Arial Narrow"/>
        </w:rPr>
      </w:pPr>
      <w:r w:rsidRPr="009578B2">
        <w:rPr>
          <w:rFonts w:ascii="Bookman Old Style" w:eastAsia="Arial Narrow" w:hAnsi="Bookman Old Style" w:cs="Arial Narrow"/>
        </w:rPr>
        <w:t xml:space="preserve">En ese mismo sentido, se garantizará el tratamiento y rehabilitación de </w:t>
      </w:r>
      <w:r w:rsidRPr="009578B2">
        <w:rPr>
          <w:rFonts w:ascii="Bookman Old Style" w:eastAsia="Arial Narrow" w:hAnsi="Bookman Old Style" w:cs="Arial Narrow"/>
          <w:bCs/>
        </w:rPr>
        <w:t>los consumidores de</w:t>
      </w:r>
      <w:r w:rsidRPr="009578B2">
        <w:rPr>
          <w:rFonts w:ascii="Bookman Old Style" w:eastAsia="Arial Narrow" w:hAnsi="Bookman Old Style" w:cs="Arial Narrow"/>
        </w:rPr>
        <w:t xml:space="preserve"> sustancias psicoactivas y a su familia y/o redes de apoyo. Estas medidas y tratamientos requieren el consentimiento informado del consumidor.</w:t>
      </w:r>
    </w:p>
    <w:p w:rsidR="009578B2" w:rsidRPr="009578B2" w:rsidRDefault="009578B2" w:rsidP="009578B2">
      <w:pPr>
        <w:spacing w:after="100" w:afterAutospacing="1"/>
        <w:ind w:left="708"/>
        <w:jc w:val="both"/>
        <w:rPr>
          <w:rFonts w:ascii="Bookman Old Style" w:hAnsi="Bookman Old Style" w:cs="Arial"/>
          <w:b/>
          <w:bCs/>
          <w:u w:val="single"/>
        </w:rPr>
      </w:pPr>
      <w:r w:rsidRPr="009578B2">
        <w:rPr>
          <w:rFonts w:ascii="Bookman Old Style" w:hAnsi="Bookman Old Style" w:cs="Arial"/>
        </w:rPr>
        <w:t xml:space="preserve">El Estado incorporará </w:t>
      </w:r>
      <w:r w:rsidRPr="009578B2">
        <w:rPr>
          <w:rFonts w:ascii="Bookman Old Style" w:hAnsi="Bookman Old Style" w:cs="Arial"/>
          <w:bCs/>
        </w:rPr>
        <w:t>de manera integral</w:t>
      </w:r>
      <w:r w:rsidRPr="009578B2">
        <w:rPr>
          <w:rFonts w:ascii="Bookman Old Style" w:hAnsi="Bookman Old Style" w:cs="Arial"/>
        </w:rPr>
        <w:t xml:space="preserve"> en el Sistema Educativo, en sus diferentes formas, modalidades y niveles, la educación sobre la prevención en el consumo de sustancias psicoactivas y sus efectos nocivos </w:t>
      </w:r>
      <w:r w:rsidRPr="009578B2">
        <w:rPr>
          <w:rFonts w:ascii="Bookman Old Style" w:hAnsi="Bookman Old Style" w:cs="Arial"/>
          <w:bCs/>
        </w:rPr>
        <w:t>tanto en la salud como en el desarrollo comunitario.</w:t>
      </w:r>
    </w:p>
    <w:p w:rsidR="009578B2" w:rsidRPr="009578B2" w:rsidRDefault="009578B2" w:rsidP="009578B2">
      <w:pPr>
        <w:ind w:left="708"/>
        <w:jc w:val="both"/>
        <w:rPr>
          <w:rFonts w:ascii="Bookman Old Style" w:hAnsi="Bookman Old Style" w:cs="Arial"/>
        </w:rPr>
      </w:pPr>
      <w:r w:rsidRPr="009578B2">
        <w:rPr>
          <w:rFonts w:ascii="Bookman Old Style" w:hAnsi="Bookman Old Style" w:cs="Arial"/>
        </w:rPr>
        <w:t>Las entidades que conforman el Sistema General de Seguridad Social en Salud y sus prestadores garantizarán la aplicación e incorporación de lo establecido en este artículo de forma obligatoria.</w:t>
      </w:r>
    </w:p>
    <w:p w:rsidR="00014699" w:rsidRPr="009578B2" w:rsidRDefault="00014699" w:rsidP="00014699">
      <w:pPr>
        <w:ind w:left="708"/>
        <w:jc w:val="both"/>
        <w:rPr>
          <w:rFonts w:ascii="Bookman Old Style" w:hAnsi="Bookman Old Style" w:cs="Arial"/>
        </w:rPr>
      </w:pPr>
    </w:p>
    <w:p w:rsidR="00014699" w:rsidRPr="009578B2" w:rsidRDefault="007E2A01" w:rsidP="00043C11">
      <w:pPr>
        <w:pStyle w:val="NormalWeb"/>
        <w:spacing w:line="270" w:lineRule="atLeast"/>
        <w:jc w:val="both"/>
        <w:rPr>
          <w:rFonts w:ascii="Bookman Old Style" w:hAnsi="Bookman Old Style" w:cs="Arial"/>
          <w:bCs/>
          <w:sz w:val="22"/>
          <w:szCs w:val="22"/>
        </w:rPr>
      </w:pPr>
      <w:r w:rsidRPr="009578B2">
        <w:rPr>
          <w:rFonts w:ascii="Bookman Old Style" w:hAnsi="Bookman Old Style" w:cs="Calibri"/>
          <w:b/>
          <w:bCs/>
        </w:rPr>
        <w:t>ARTÍCULO</w:t>
      </w:r>
      <w:r w:rsidRPr="009578B2">
        <w:rPr>
          <w:rFonts w:ascii="Bookman Old Style" w:hAnsi="Bookman Old Style" w:cs="Calibri"/>
          <w:b/>
          <w:bCs/>
          <w:sz w:val="22"/>
          <w:szCs w:val="22"/>
        </w:rPr>
        <w:t xml:space="preserve"> 2°. TRANSITORIO</w:t>
      </w:r>
      <w:r w:rsidRPr="009578B2">
        <w:rPr>
          <w:rFonts w:ascii="Bookman Old Style" w:hAnsi="Bookman Old Style" w:cs="Calibri"/>
          <w:bCs/>
          <w:sz w:val="22"/>
          <w:szCs w:val="22"/>
        </w:rPr>
        <w:t xml:space="preserve">. </w:t>
      </w:r>
      <w:r w:rsidR="00043C11" w:rsidRPr="009578B2">
        <w:rPr>
          <w:rFonts w:ascii="Bookman Old Style" w:hAnsi="Bookman Old Style" w:cs="Arial"/>
          <w:sz w:val="22"/>
          <w:szCs w:val="22"/>
        </w:rPr>
        <w:t xml:space="preserve">El Gobierno Nacional tendrá un plazo de seis (6) meses, contados a partir de la promulgación del presente Acto Legislativo, para formular, divulgar e implementar una política pública estricta e integral en torno a la prevención y atención del consumo de sustancias psicoactivas, haciendo énfasis en la prevención del consumo pasivo o secundario por parte de los niños, niñas y adolescentes. Dicha política deberá estar acompañada con una estrategia </w:t>
      </w:r>
      <w:r w:rsidR="00043C11" w:rsidRPr="009578B2">
        <w:rPr>
          <w:rFonts w:ascii="Bookman Old Style" w:hAnsi="Bookman Old Style" w:cs="Arial"/>
          <w:sz w:val="22"/>
          <w:szCs w:val="22"/>
        </w:rPr>
        <w:lastRenderedPageBreak/>
        <w:t>educativa nacional integral que tenga como objetivo la prevención del consumo de dichas sustancias.</w:t>
      </w:r>
      <w:r w:rsidR="00043C11" w:rsidRPr="009578B2">
        <w:rPr>
          <w:rFonts w:ascii="Bookman Old Style" w:hAnsi="Bookman Old Style" w:cs="Arial"/>
          <w:bCs/>
          <w:sz w:val="22"/>
          <w:szCs w:val="22"/>
        </w:rPr>
        <w:t xml:space="preserve"> </w:t>
      </w:r>
    </w:p>
    <w:p w:rsidR="00043C11" w:rsidRPr="009578B2" w:rsidRDefault="00043C11" w:rsidP="00043C11">
      <w:pPr>
        <w:pStyle w:val="NormalWeb"/>
        <w:spacing w:line="270" w:lineRule="atLeast"/>
        <w:jc w:val="both"/>
        <w:rPr>
          <w:rFonts w:ascii="Bookman Old Style" w:hAnsi="Bookman Old Style" w:cs="Arial"/>
          <w:bCs/>
          <w:sz w:val="22"/>
          <w:szCs w:val="22"/>
        </w:rPr>
      </w:pPr>
      <w:r w:rsidRPr="009578B2">
        <w:rPr>
          <w:rFonts w:ascii="Bookman Old Style" w:hAnsi="Bookman Old Style" w:cs="Arial"/>
          <w:sz w:val="22"/>
          <w:szCs w:val="22"/>
        </w:rPr>
        <w:t xml:space="preserve">PARÁGRAFO. Tratándose de grupos étnicos, el Gobierno Nacional deberá agotar la consulta previa, para emitir un decreto para la reglamentación de la materia y garantizará la interculturalidad como elemento esencial del derecho fundamental a la salud para el fortalecimiento efectivo de los saberes, prácticas culturales, formas tradicionales y complementarias afines a la diversidad étnica. </w:t>
      </w:r>
    </w:p>
    <w:p w:rsidR="007E2A01" w:rsidRPr="009578B2" w:rsidRDefault="007E2A01" w:rsidP="007E2A01">
      <w:pPr>
        <w:pStyle w:val="NormalWeb"/>
        <w:spacing w:line="270" w:lineRule="atLeast"/>
        <w:jc w:val="both"/>
        <w:rPr>
          <w:rFonts w:ascii="Bookman Old Style" w:hAnsi="Bookman Old Style" w:cs="Calibri"/>
          <w:b/>
          <w:bCs/>
          <w:sz w:val="22"/>
          <w:szCs w:val="22"/>
        </w:rPr>
      </w:pPr>
    </w:p>
    <w:p w:rsidR="00043C11" w:rsidRPr="009578B2" w:rsidRDefault="00043C11" w:rsidP="00043C11">
      <w:pPr>
        <w:jc w:val="both"/>
        <w:rPr>
          <w:rFonts w:ascii="Bookman Old Style" w:eastAsia="Calibri" w:hAnsi="Bookman Old Style" w:cs="Arial"/>
          <w:bCs/>
        </w:rPr>
      </w:pPr>
      <w:r w:rsidRPr="009578B2">
        <w:rPr>
          <w:rFonts w:ascii="Bookman Old Style" w:hAnsi="Bookman Old Style" w:cs="Arial"/>
          <w:b/>
          <w:bCs/>
        </w:rPr>
        <w:t>ARTÍCULO 3°.</w:t>
      </w:r>
      <w:r w:rsidRPr="009578B2">
        <w:rPr>
          <w:rFonts w:ascii="Bookman Old Style" w:eastAsia="Calibri" w:hAnsi="Bookman Old Style" w:cs="Arial"/>
          <w:bCs/>
        </w:rPr>
        <w:t xml:space="preserve"> Modifíquese el artículo 287 de la Constitución Política, el cual quedará así:</w:t>
      </w:r>
    </w:p>
    <w:p w:rsidR="00043C11" w:rsidRPr="009578B2" w:rsidRDefault="00043C11" w:rsidP="00043C11">
      <w:pPr>
        <w:jc w:val="both"/>
        <w:rPr>
          <w:rFonts w:ascii="Bookman Old Style" w:eastAsia="Calibri" w:hAnsi="Bookman Old Style" w:cs="Arial"/>
          <w:bCs/>
        </w:rPr>
      </w:pPr>
    </w:p>
    <w:p w:rsidR="00043C11" w:rsidRPr="009578B2" w:rsidRDefault="00043C11" w:rsidP="00043C11">
      <w:pPr>
        <w:ind w:left="708"/>
        <w:jc w:val="both"/>
        <w:rPr>
          <w:rFonts w:ascii="Bookman Old Style" w:eastAsia="Calibri" w:hAnsi="Bookman Old Style" w:cs="Arial"/>
          <w:bCs/>
        </w:rPr>
      </w:pPr>
      <w:r w:rsidRPr="009578B2">
        <w:rPr>
          <w:rFonts w:ascii="Bookman Old Style" w:eastAsia="Calibri" w:hAnsi="Bookman Old Style" w:cs="Arial"/>
          <w:b/>
          <w:bCs/>
        </w:rPr>
        <w:t>ARTÍCULO 287.</w:t>
      </w:r>
      <w:r w:rsidRPr="009578B2">
        <w:rPr>
          <w:rFonts w:ascii="Bookman Old Style" w:eastAsia="Calibri" w:hAnsi="Bookman Old Style" w:cs="Arial"/>
          <w:bCs/>
        </w:rPr>
        <w:t xml:space="preserve"> Las entidades territoriales gozan de autonomía para la gestión de sus intereses, y dentro de los límites de la Constitución y la ley. En tal virtud tendrán los siguientes derechos:</w:t>
      </w:r>
    </w:p>
    <w:p w:rsidR="00043C11" w:rsidRPr="009578B2" w:rsidRDefault="00043C11" w:rsidP="00043C11">
      <w:pPr>
        <w:ind w:left="708"/>
        <w:jc w:val="both"/>
        <w:rPr>
          <w:rFonts w:ascii="Bookman Old Style" w:eastAsia="Calibri" w:hAnsi="Bookman Old Style" w:cs="Arial"/>
          <w:bCs/>
        </w:rPr>
      </w:pPr>
    </w:p>
    <w:p w:rsidR="00043C11" w:rsidRPr="009578B2" w:rsidRDefault="00043C11" w:rsidP="00043C11">
      <w:pPr>
        <w:ind w:left="708"/>
        <w:jc w:val="both"/>
        <w:rPr>
          <w:rFonts w:ascii="Bookman Old Style" w:eastAsia="Calibri" w:hAnsi="Bookman Old Style" w:cs="Arial"/>
          <w:bCs/>
        </w:rPr>
      </w:pPr>
      <w:r w:rsidRPr="009578B2">
        <w:rPr>
          <w:rFonts w:ascii="Bookman Old Style" w:eastAsia="Calibri" w:hAnsi="Bookman Old Style" w:cs="Arial"/>
          <w:bCs/>
        </w:rPr>
        <w:t>1. Gobernarse por autoridades propias.</w:t>
      </w:r>
    </w:p>
    <w:p w:rsidR="00043C11" w:rsidRPr="009578B2" w:rsidRDefault="00043C11" w:rsidP="00043C11">
      <w:pPr>
        <w:ind w:left="708"/>
        <w:jc w:val="both"/>
        <w:rPr>
          <w:rFonts w:ascii="Bookman Old Style" w:eastAsia="Calibri" w:hAnsi="Bookman Old Style" w:cs="Arial"/>
          <w:bCs/>
        </w:rPr>
      </w:pPr>
      <w:r w:rsidRPr="009578B2">
        <w:rPr>
          <w:rFonts w:ascii="Bookman Old Style" w:eastAsia="Calibri" w:hAnsi="Bookman Old Style" w:cs="Arial"/>
          <w:bCs/>
        </w:rPr>
        <w:t>2. Ejercer las competencias que les correspondan.</w:t>
      </w:r>
    </w:p>
    <w:p w:rsidR="00043C11" w:rsidRPr="009578B2" w:rsidRDefault="00043C11" w:rsidP="00043C11">
      <w:pPr>
        <w:ind w:left="708"/>
        <w:jc w:val="both"/>
        <w:rPr>
          <w:rFonts w:ascii="Bookman Old Style" w:eastAsia="Calibri" w:hAnsi="Bookman Old Style" w:cs="Arial"/>
          <w:bCs/>
        </w:rPr>
      </w:pPr>
      <w:r w:rsidRPr="009578B2">
        <w:rPr>
          <w:rFonts w:ascii="Bookman Old Style" w:eastAsia="Calibri" w:hAnsi="Bookman Old Style" w:cs="Arial"/>
          <w:bCs/>
        </w:rPr>
        <w:t>3. Administrar los recursos y establecer los tributos necesarios para el cumplimiento de sus funciones.</w:t>
      </w:r>
    </w:p>
    <w:p w:rsidR="00043C11" w:rsidRPr="009578B2" w:rsidRDefault="00043C11" w:rsidP="00043C11">
      <w:pPr>
        <w:ind w:left="708"/>
        <w:jc w:val="both"/>
        <w:rPr>
          <w:rFonts w:ascii="Bookman Old Style" w:eastAsia="Calibri" w:hAnsi="Bookman Old Style" w:cs="Arial"/>
          <w:bCs/>
        </w:rPr>
      </w:pPr>
      <w:r w:rsidRPr="009578B2">
        <w:rPr>
          <w:rFonts w:ascii="Bookman Old Style" w:eastAsia="Calibri" w:hAnsi="Bookman Old Style" w:cs="Arial"/>
          <w:bCs/>
        </w:rPr>
        <w:t>4. Participar en las rentas nacionales.</w:t>
      </w:r>
    </w:p>
    <w:p w:rsidR="009578B2" w:rsidRPr="009578B2" w:rsidRDefault="009578B2" w:rsidP="009578B2">
      <w:pPr>
        <w:pStyle w:val="NormalWeb"/>
        <w:spacing w:line="270" w:lineRule="atLeast"/>
        <w:ind w:left="708"/>
        <w:jc w:val="both"/>
        <w:rPr>
          <w:rFonts w:ascii="Bookman Old Style" w:eastAsia="Calibri" w:hAnsi="Bookman Old Style" w:cs="Arial"/>
          <w:bCs/>
          <w:sz w:val="22"/>
          <w:szCs w:val="22"/>
        </w:rPr>
      </w:pPr>
      <w:r w:rsidRPr="009578B2">
        <w:rPr>
          <w:rFonts w:ascii="Bookman Old Style" w:eastAsia="Calibri" w:hAnsi="Bookman Old Style" w:cs="Arial"/>
          <w:bCs/>
          <w:sz w:val="22"/>
          <w:szCs w:val="22"/>
        </w:rPr>
        <w:t xml:space="preserve">5. Establecer, recaudar y administrar tributos a favor del respectivo orden </w:t>
      </w:r>
      <w:r w:rsidRPr="0027730B">
        <w:rPr>
          <w:rFonts w:ascii="Bookman Old Style" w:eastAsia="Calibri" w:hAnsi="Bookman Old Style" w:cs="Arial"/>
          <w:bCs/>
          <w:sz w:val="22"/>
          <w:szCs w:val="22"/>
        </w:rPr>
        <w:t>municipal o distrital,</w:t>
      </w:r>
      <w:r w:rsidRPr="009578B2">
        <w:rPr>
          <w:rFonts w:ascii="Bookman Old Style" w:eastAsia="Calibri" w:hAnsi="Bookman Old Style" w:cs="Arial"/>
          <w:bCs/>
          <w:sz w:val="22"/>
          <w:szCs w:val="22"/>
        </w:rPr>
        <w:t xml:space="preserve"> por las distintas actividades relativas a la distribución o venta de cannabis para uso de adultos, de acuerdo a la ley. Los tributos tendrán como destinación los sistemas de salud y educación.</w:t>
      </w:r>
    </w:p>
    <w:p w:rsidR="009578B2" w:rsidRPr="009578B2" w:rsidRDefault="009578B2" w:rsidP="00043C11">
      <w:pPr>
        <w:pStyle w:val="NormalWeb"/>
        <w:spacing w:line="270" w:lineRule="atLeast"/>
        <w:jc w:val="both"/>
        <w:rPr>
          <w:rFonts w:ascii="Bookman Old Style" w:eastAsia="Calibri" w:hAnsi="Bookman Old Style" w:cs="Arial"/>
          <w:bCs/>
          <w:sz w:val="22"/>
          <w:szCs w:val="22"/>
        </w:rPr>
      </w:pPr>
    </w:p>
    <w:p w:rsidR="00043C11" w:rsidRPr="009578B2" w:rsidRDefault="00043C11" w:rsidP="00043C11">
      <w:pPr>
        <w:pStyle w:val="NormalWeb"/>
        <w:spacing w:line="270" w:lineRule="atLeast"/>
        <w:jc w:val="both"/>
        <w:rPr>
          <w:rFonts w:ascii="Bookman Old Style" w:eastAsia="Calibri" w:hAnsi="Bookman Old Style" w:cs="Arial"/>
          <w:bCs/>
          <w:sz w:val="22"/>
          <w:szCs w:val="22"/>
        </w:rPr>
      </w:pPr>
      <w:r w:rsidRPr="009578B2">
        <w:rPr>
          <w:rFonts w:ascii="Bookman Old Style" w:hAnsi="Bookman Old Style" w:cs="Arial"/>
          <w:b/>
          <w:bCs/>
          <w:sz w:val="22"/>
          <w:szCs w:val="22"/>
        </w:rPr>
        <w:t xml:space="preserve">ARTÍCULO 4. </w:t>
      </w:r>
      <w:r w:rsidRPr="009578B2">
        <w:rPr>
          <w:rFonts w:ascii="Bookman Old Style" w:eastAsia="Calibri" w:hAnsi="Bookman Old Style" w:cs="Arial"/>
          <w:bCs/>
          <w:sz w:val="22"/>
          <w:szCs w:val="22"/>
        </w:rPr>
        <w:t>Modifíquese el artículo 317 de la Constitución Política, el cual quedará así:</w:t>
      </w:r>
    </w:p>
    <w:p w:rsidR="00043C11" w:rsidRPr="009578B2" w:rsidRDefault="00043C11" w:rsidP="00043C11">
      <w:pPr>
        <w:pStyle w:val="NormalWeb"/>
        <w:spacing w:line="270" w:lineRule="atLeast"/>
        <w:ind w:left="708"/>
        <w:jc w:val="both"/>
        <w:rPr>
          <w:rFonts w:ascii="Bookman Old Style" w:hAnsi="Bookman Old Style" w:cs="Arial"/>
          <w:sz w:val="22"/>
          <w:szCs w:val="22"/>
        </w:rPr>
      </w:pPr>
      <w:r w:rsidRPr="009578B2">
        <w:rPr>
          <w:rFonts w:ascii="Bookman Old Style" w:hAnsi="Bookman Old Style" w:cs="Arial"/>
          <w:b/>
          <w:bCs/>
          <w:sz w:val="22"/>
          <w:szCs w:val="22"/>
        </w:rPr>
        <w:t>ARTÍCULO 317.</w:t>
      </w:r>
      <w:r w:rsidRPr="009578B2">
        <w:rPr>
          <w:rFonts w:ascii="Bookman Old Style" w:hAnsi="Bookman Old Style" w:cs="Arial"/>
          <w:sz w:val="22"/>
          <w:szCs w:val="22"/>
        </w:rPr>
        <w:t xml:space="preserve"> Solo los municipios podrán gravar la propiedad inmueble. Lo anterior no obsta para que otras entidades impongan contribución de valorización. </w:t>
      </w:r>
    </w:p>
    <w:p w:rsidR="00043C11" w:rsidRPr="009578B2" w:rsidRDefault="00043C11" w:rsidP="00043C11">
      <w:pPr>
        <w:pStyle w:val="NormalWeb"/>
        <w:spacing w:line="270" w:lineRule="atLeast"/>
        <w:ind w:left="708"/>
        <w:jc w:val="both"/>
        <w:rPr>
          <w:rFonts w:ascii="Bookman Old Style" w:hAnsi="Bookman Old Style" w:cs="Arial"/>
          <w:sz w:val="22"/>
          <w:szCs w:val="22"/>
        </w:rPr>
      </w:pPr>
      <w:r w:rsidRPr="009578B2">
        <w:rPr>
          <w:rFonts w:ascii="Bookman Old Style" w:hAnsi="Bookman Old Style" w:cs="Arial"/>
          <w:sz w:val="22"/>
          <w:szCs w:val="22"/>
        </w:rPr>
        <w:t>La ley destinará un porcentaje de estos tributos, que no podrá exceder del promedio de las sobretasas existentes, a las entidades encargadas del manejo y conservación del ambiente y de los recursos naturales renovables, de acuerdo con los planes de desarrollo de los municipios del área de su jurisdicción.</w:t>
      </w:r>
    </w:p>
    <w:p w:rsidR="00043C11" w:rsidRPr="009578B2" w:rsidRDefault="00043C11" w:rsidP="00043C11">
      <w:pPr>
        <w:ind w:left="708"/>
        <w:jc w:val="both"/>
        <w:rPr>
          <w:rFonts w:ascii="Bookman Old Style" w:hAnsi="Bookman Old Style" w:cs="Arial"/>
        </w:rPr>
      </w:pPr>
      <w:r w:rsidRPr="009578B2">
        <w:rPr>
          <w:rFonts w:ascii="Bookman Old Style" w:hAnsi="Bookman Old Style" w:cs="Arial"/>
        </w:rPr>
        <w:t xml:space="preserve">La ley regulará los impuestos que decreten los municipios y distritos a su favor, previa aprobación de los concejos, por el uso de inmuebles en </w:t>
      </w:r>
      <w:r w:rsidRPr="009578B2">
        <w:rPr>
          <w:rFonts w:ascii="Bookman Old Style" w:hAnsi="Bookman Old Style" w:cs="Arial"/>
        </w:rPr>
        <w:lastRenderedPageBreak/>
        <w:t>actividades relativas al cannabis de uso para adultos. Estos impuestos tendrán como destinación los sistemas de salud y educación, y el sector agricultura.</w:t>
      </w:r>
    </w:p>
    <w:p w:rsidR="00043C11" w:rsidRPr="009578B2" w:rsidRDefault="00043C11" w:rsidP="00043C11">
      <w:pPr>
        <w:jc w:val="both"/>
        <w:rPr>
          <w:rFonts w:ascii="Bookman Old Style" w:hAnsi="Bookman Old Style" w:cs="Arial"/>
          <w:b/>
          <w:bCs/>
        </w:rPr>
      </w:pPr>
    </w:p>
    <w:p w:rsidR="00043C11" w:rsidRPr="009578B2" w:rsidRDefault="00043C11" w:rsidP="00043C11">
      <w:pPr>
        <w:jc w:val="both"/>
        <w:rPr>
          <w:rFonts w:ascii="Bookman Old Style" w:hAnsi="Bookman Old Style" w:cs="Arial"/>
          <w:b/>
          <w:bCs/>
        </w:rPr>
      </w:pPr>
      <w:r w:rsidRPr="009578B2">
        <w:rPr>
          <w:rFonts w:ascii="Bookman Old Style" w:hAnsi="Bookman Old Style" w:cs="Arial"/>
          <w:b/>
          <w:bCs/>
        </w:rPr>
        <w:t xml:space="preserve">ARTÍCULO 5. TRANSITORIO. </w:t>
      </w:r>
    </w:p>
    <w:p w:rsidR="00043C11" w:rsidRPr="009578B2" w:rsidRDefault="00043C11" w:rsidP="00043C11">
      <w:pPr>
        <w:jc w:val="both"/>
        <w:rPr>
          <w:rFonts w:ascii="Bookman Old Style" w:hAnsi="Bookman Old Style" w:cs="Arial"/>
          <w:b/>
          <w:bCs/>
        </w:rPr>
      </w:pPr>
    </w:p>
    <w:p w:rsidR="00043C11" w:rsidRPr="009578B2" w:rsidRDefault="00043C11" w:rsidP="00043C11">
      <w:pPr>
        <w:jc w:val="both"/>
        <w:rPr>
          <w:rFonts w:ascii="Bookman Old Style" w:hAnsi="Bookman Old Style" w:cs="Arial"/>
        </w:rPr>
      </w:pPr>
      <w:r w:rsidRPr="009578B2">
        <w:rPr>
          <w:rFonts w:ascii="Bookman Old Style" w:hAnsi="Bookman Old Style" w:cs="Arial"/>
        </w:rPr>
        <w:t>El Congreso de la</w:t>
      </w:r>
      <w:r w:rsidRPr="009578B2">
        <w:rPr>
          <w:rFonts w:ascii="Bookman Old Style" w:hAnsi="Bookman Old Style" w:cs="Arial"/>
          <w:b/>
          <w:bCs/>
        </w:rPr>
        <w:t xml:space="preserve"> </w:t>
      </w:r>
      <w:r w:rsidRPr="009578B2">
        <w:rPr>
          <w:rFonts w:ascii="Bookman Old Style" w:hAnsi="Bookman Old Style" w:cs="Arial"/>
        </w:rPr>
        <w:t>República expedirá la ley que reglamente y autorice a las entidades territoriales la imposición de los tributos señalados en el presente Acto Legislativo, dentro de los doce (12) meses siguientes a su entrada en vigencia.</w:t>
      </w:r>
    </w:p>
    <w:p w:rsidR="00043C11" w:rsidRPr="009578B2" w:rsidRDefault="00043C11" w:rsidP="00043C11">
      <w:pPr>
        <w:jc w:val="both"/>
        <w:rPr>
          <w:rFonts w:ascii="Bookman Old Style" w:hAnsi="Bookman Old Style" w:cs="Arial"/>
        </w:rPr>
      </w:pPr>
    </w:p>
    <w:p w:rsidR="00043C11" w:rsidRDefault="00043C11" w:rsidP="00043C11">
      <w:pPr>
        <w:jc w:val="both"/>
        <w:rPr>
          <w:rFonts w:ascii="Bookman Old Style" w:hAnsi="Bookman Old Style" w:cs="Arial"/>
        </w:rPr>
      </w:pPr>
      <w:r w:rsidRPr="009578B2">
        <w:rPr>
          <w:rFonts w:ascii="Bookman Old Style" w:hAnsi="Bookman Old Style" w:cs="Arial"/>
          <w:b/>
          <w:bCs/>
        </w:rPr>
        <w:t>ARTÍCULO 6°. VIGENCIA.</w:t>
      </w:r>
      <w:r w:rsidRPr="009578B2">
        <w:rPr>
          <w:rFonts w:ascii="Bookman Old Style" w:hAnsi="Bookman Old Style" w:cs="Arial"/>
        </w:rPr>
        <w:t> El presente Acto Legislativo rige a partir de su promulgación. El artículo 1 entrará en vigencia seis (6) meses desp</w:t>
      </w:r>
      <w:r w:rsidR="009578B2">
        <w:rPr>
          <w:rFonts w:ascii="Bookman Old Style" w:hAnsi="Bookman Old Style" w:cs="Arial"/>
        </w:rPr>
        <w:t>ués de la promulgación de este Acto L</w:t>
      </w:r>
      <w:r w:rsidRPr="009578B2">
        <w:rPr>
          <w:rFonts w:ascii="Bookman Old Style" w:hAnsi="Bookman Old Style" w:cs="Arial"/>
        </w:rPr>
        <w:t>egislativo.</w:t>
      </w:r>
    </w:p>
    <w:p w:rsidR="00D669BB" w:rsidRDefault="00D669BB" w:rsidP="00D669BB">
      <w:pPr>
        <w:jc w:val="both"/>
        <w:rPr>
          <w:rFonts w:ascii="Bookman Old Style" w:hAnsi="Bookman Old Style" w:cs="Arial"/>
        </w:rPr>
      </w:pPr>
    </w:p>
    <w:p w:rsidR="006E318D" w:rsidRDefault="006E318D" w:rsidP="00D669BB">
      <w:pPr>
        <w:jc w:val="both"/>
        <w:rPr>
          <w:rFonts w:ascii="Bookman Old Style" w:hAnsi="Bookman Old Style" w:cs="Arial"/>
        </w:rPr>
      </w:pPr>
    </w:p>
    <w:p w:rsidR="006E318D" w:rsidRDefault="006E318D" w:rsidP="00D669BB">
      <w:pPr>
        <w:jc w:val="both"/>
        <w:rPr>
          <w:rFonts w:ascii="Bookman Old Style" w:hAnsi="Bookman Old Style" w:cs="Arial"/>
        </w:rPr>
      </w:pPr>
    </w:p>
    <w:p w:rsidR="006E318D" w:rsidRDefault="006E318D" w:rsidP="00D669BB">
      <w:pPr>
        <w:jc w:val="both"/>
        <w:rPr>
          <w:rFonts w:ascii="Bookman Old Style" w:hAnsi="Bookman Old Style" w:cs="Arial"/>
        </w:rPr>
      </w:pPr>
    </w:p>
    <w:p w:rsidR="006E318D" w:rsidRDefault="006E318D" w:rsidP="00D669BB">
      <w:pPr>
        <w:jc w:val="both"/>
        <w:rPr>
          <w:rFonts w:ascii="Bookman Old Style" w:hAnsi="Bookman Old Style" w:cs="Arial"/>
        </w:rPr>
      </w:pPr>
    </w:p>
    <w:p w:rsidR="006E318D" w:rsidRDefault="006E318D" w:rsidP="00D669BB">
      <w:pPr>
        <w:jc w:val="both"/>
        <w:rPr>
          <w:rFonts w:ascii="Bookman Old Style" w:hAnsi="Bookman Old Style" w:cs="Arial"/>
        </w:rPr>
      </w:pPr>
    </w:p>
    <w:p w:rsidR="006E318D" w:rsidRDefault="006E318D" w:rsidP="00D669BB">
      <w:pPr>
        <w:jc w:val="both"/>
        <w:rPr>
          <w:rFonts w:ascii="Bookman Old Style" w:hAnsi="Bookman Old Style" w:cs="Arial"/>
        </w:rPr>
      </w:pPr>
    </w:p>
    <w:p w:rsidR="006E318D" w:rsidRDefault="006E318D" w:rsidP="00D669BB">
      <w:pPr>
        <w:jc w:val="both"/>
        <w:rPr>
          <w:rFonts w:ascii="Bookman Old Style" w:hAnsi="Bookman Old Style" w:cs="Arial"/>
        </w:rPr>
      </w:pPr>
    </w:p>
    <w:p w:rsidR="006E318D" w:rsidRDefault="006E318D" w:rsidP="00D669BB">
      <w:pPr>
        <w:jc w:val="both"/>
        <w:rPr>
          <w:rFonts w:ascii="Bookman Old Style" w:hAnsi="Bookman Old Style" w:cs="Arial"/>
        </w:rPr>
      </w:pPr>
    </w:p>
    <w:p w:rsidR="006E318D" w:rsidRDefault="006E318D" w:rsidP="00D669BB">
      <w:pPr>
        <w:jc w:val="both"/>
        <w:rPr>
          <w:rFonts w:ascii="Bookman Old Style" w:hAnsi="Bookman Old Style" w:cs="Arial"/>
        </w:rPr>
      </w:pPr>
    </w:p>
    <w:p w:rsidR="006E318D" w:rsidRDefault="006E318D" w:rsidP="00D669BB">
      <w:pPr>
        <w:jc w:val="both"/>
        <w:rPr>
          <w:rFonts w:ascii="Bookman Old Style" w:hAnsi="Bookman Old Style" w:cs="Arial"/>
        </w:rPr>
      </w:pPr>
    </w:p>
    <w:p w:rsidR="006E318D" w:rsidRDefault="006E318D" w:rsidP="00D669BB">
      <w:pPr>
        <w:jc w:val="both"/>
        <w:rPr>
          <w:rFonts w:ascii="Bookman Old Style" w:hAnsi="Bookman Old Style" w:cs="Arial"/>
        </w:rPr>
      </w:pPr>
    </w:p>
    <w:p w:rsidR="006E318D" w:rsidRDefault="006E318D" w:rsidP="00D669BB">
      <w:pPr>
        <w:jc w:val="both"/>
        <w:rPr>
          <w:rFonts w:ascii="Bookman Old Style" w:hAnsi="Bookman Old Style" w:cs="Arial"/>
        </w:rPr>
      </w:pPr>
    </w:p>
    <w:p w:rsidR="006E318D" w:rsidRDefault="006E318D" w:rsidP="00D669BB">
      <w:pPr>
        <w:jc w:val="both"/>
        <w:rPr>
          <w:rFonts w:ascii="Bookman Old Style" w:hAnsi="Bookman Old Style" w:cs="Arial"/>
        </w:rPr>
      </w:pPr>
    </w:p>
    <w:p w:rsidR="006E318D" w:rsidRDefault="006E318D" w:rsidP="00D669BB">
      <w:pPr>
        <w:jc w:val="both"/>
        <w:rPr>
          <w:rFonts w:ascii="Bookman Old Style" w:hAnsi="Bookman Old Style" w:cs="Arial"/>
        </w:rPr>
      </w:pPr>
    </w:p>
    <w:p w:rsidR="006E318D" w:rsidRDefault="006E318D" w:rsidP="00D669BB">
      <w:pPr>
        <w:jc w:val="both"/>
        <w:rPr>
          <w:rFonts w:ascii="Bookman Old Style" w:hAnsi="Bookman Old Style" w:cs="Arial"/>
        </w:rPr>
      </w:pPr>
    </w:p>
    <w:p w:rsidR="006E318D" w:rsidRDefault="006E318D" w:rsidP="00D669BB">
      <w:pPr>
        <w:jc w:val="both"/>
        <w:rPr>
          <w:rFonts w:ascii="Bookman Old Style" w:hAnsi="Bookman Old Style" w:cs="Arial"/>
        </w:rPr>
      </w:pPr>
    </w:p>
    <w:p w:rsidR="006E318D" w:rsidRDefault="006E318D" w:rsidP="00D669BB">
      <w:pPr>
        <w:jc w:val="both"/>
        <w:rPr>
          <w:rFonts w:ascii="Bookman Old Style" w:hAnsi="Bookman Old Style" w:cs="Arial"/>
        </w:rPr>
      </w:pPr>
    </w:p>
    <w:p w:rsidR="006E318D" w:rsidRDefault="006E318D" w:rsidP="00D669BB">
      <w:pPr>
        <w:jc w:val="both"/>
        <w:rPr>
          <w:rFonts w:ascii="Bookman Old Style" w:hAnsi="Bookman Old Style" w:cs="Arial"/>
        </w:rPr>
      </w:pPr>
    </w:p>
    <w:p w:rsidR="006E318D" w:rsidRDefault="006E318D" w:rsidP="00D669BB">
      <w:pPr>
        <w:jc w:val="both"/>
        <w:rPr>
          <w:rFonts w:ascii="Bookman Old Style" w:hAnsi="Bookman Old Style" w:cs="Arial"/>
        </w:rPr>
      </w:pPr>
    </w:p>
    <w:p w:rsidR="006E318D" w:rsidRDefault="006E318D" w:rsidP="00D669BB">
      <w:pPr>
        <w:jc w:val="both"/>
        <w:rPr>
          <w:rFonts w:ascii="Bookman Old Style" w:hAnsi="Bookman Old Style" w:cs="Arial"/>
        </w:rPr>
      </w:pPr>
    </w:p>
    <w:p w:rsidR="006E318D" w:rsidRDefault="006E318D" w:rsidP="00D669BB">
      <w:pPr>
        <w:jc w:val="both"/>
        <w:rPr>
          <w:rFonts w:ascii="Bookman Old Style" w:hAnsi="Bookman Old Style" w:cs="Arial"/>
        </w:rPr>
      </w:pPr>
    </w:p>
    <w:p w:rsidR="006E318D" w:rsidRDefault="006E318D" w:rsidP="00D669BB">
      <w:pPr>
        <w:jc w:val="both"/>
        <w:rPr>
          <w:rFonts w:ascii="Bookman Old Style" w:hAnsi="Bookman Old Style" w:cs="Arial"/>
        </w:rPr>
      </w:pPr>
    </w:p>
    <w:p w:rsidR="006E318D" w:rsidRDefault="006E318D" w:rsidP="00D669BB">
      <w:pPr>
        <w:jc w:val="both"/>
        <w:rPr>
          <w:rFonts w:ascii="Bookman Old Style" w:hAnsi="Bookman Old Style" w:cs="Arial"/>
        </w:rPr>
      </w:pPr>
    </w:p>
    <w:p w:rsidR="006E318D" w:rsidRDefault="006E318D" w:rsidP="00D669BB">
      <w:pPr>
        <w:jc w:val="both"/>
        <w:rPr>
          <w:rFonts w:ascii="Bookman Old Style" w:hAnsi="Bookman Old Style" w:cs="Arial"/>
        </w:rPr>
      </w:pPr>
    </w:p>
    <w:p w:rsidR="006E318D" w:rsidRDefault="006E318D" w:rsidP="00D669BB">
      <w:pPr>
        <w:jc w:val="both"/>
        <w:rPr>
          <w:rFonts w:ascii="Bookman Old Style" w:hAnsi="Bookman Old Style" w:cs="Arial"/>
        </w:rPr>
      </w:pPr>
    </w:p>
    <w:p w:rsidR="006E318D" w:rsidRDefault="006E318D" w:rsidP="00D669BB">
      <w:pPr>
        <w:jc w:val="both"/>
        <w:rPr>
          <w:rFonts w:ascii="Bookman Old Style" w:hAnsi="Bookman Old Style" w:cs="Arial"/>
        </w:rPr>
      </w:pPr>
    </w:p>
    <w:p w:rsidR="006E318D" w:rsidRDefault="006E318D" w:rsidP="00D669BB">
      <w:pPr>
        <w:jc w:val="both"/>
        <w:rPr>
          <w:rFonts w:ascii="Bookman Old Style" w:hAnsi="Bookman Old Style" w:cs="Arial"/>
        </w:rPr>
      </w:pPr>
    </w:p>
    <w:p w:rsidR="006E318D" w:rsidRDefault="006E318D" w:rsidP="00D669BB">
      <w:pPr>
        <w:jc w:val="both"/>
        <w:rPr>
          <w:rFonts w:ascii="Bookman Old Style" w:hAnsi="Bookman Old Style" w:cs="Arial"/>
        </w:rPr>
      </w:pPr>
    </w:p>
    <w:p w:rsidR="006E318D" w:rsidRDefault="006E318D" w:rsidP="00D669BB">
      <w:pPr>
        <w:jc w:val="both"/>
        <w:rPr>
          <w:rFonts w:ascii="Bookman Old Style" w:hAnsi="Bookman Old Style" w:cs="Arial"/>
        </w:rPr>
      </w:pPr>
    </w:p>
    <w:p w:rsidR="006E318D" w:rsidRDefault="006E318D" w:rsidP="00D669BB">
      <w:pPr>
        <w:jc w:val="both"/>
        <w:rPr>
          <w:rFonts w:ascii="Bookman Old Style" w:hAnsi="Bookman Old Style" w:cs="Arial"/>
        </w:rPr>
      </w:pPr>
    </w:p>
    <w:p w:rsidR="006E318D" w:rsidRDefault="006E318D" w:rsidP="00D669BB">
      <w:pPr>
        <w:jc w:val="both"/>
        <w:rPr>
          <w:rFonts w:ascii="Bookman Old Style" w:hAnsi="Bookman Old Style" w:cs="Arial"/>
        </w:rPr>
      </w:pPr>
    </w:p>
    <w:p w:rsidR="006E318D" w:rsidRDefault="006E318D" w:rsidP="00D669BB">
      <w:pPr>
        <w:jc w:val="both"/>
        <w:rPr>
          <w:rFonts w:ascii="Bookman Old Style" w:hAnsi="Bookman Old Style" w:cs="Arial"/>
        </w:rPr>
      </w:pPr>
    </w:p>
    <w:p w:rsidR="006E318D" w:rsidRDefault="006E318D" w:rsidP="00D669BB">
      <w:pPr>
        <w:jc w:val="both"/>
        <w:rPr>
          <w:rFonts w:ascii="Bookman Old Style" w:hAnsi="Bookman Old Style" w:cs="Arial"/>
        </w:rPr>
      </w:pPr>
    </w:p>
    <w:p w:rsidR="009578B2" w:rsidRDefault="009578B2" w:rsidP="00D669BB">
      <w:pPr>
        <w:jc w:val="both"/>
        <w:rPr>
          <w:rFonts w:ascii="Bookman Old Style" w:hAnsi="Bookman Old Style" w:cs="Arial"/>
        </w:rPr>
      </w:pPr>
    </w:p>
    <w:p w:rsidR="00D669BB" w:rsidRPr="00D72EAA" w:rsidRDefault="00D669BB" w:rsidP="00D669BB">
      <w:pPr>
        <w:jc w:val="both"/>
        <w:rPr>
          <w:rFonts w:ascii="Bookman Old Style" w:hAnsi="Bookman Old Style" w:cs="Arial"/>
        </w:rPr>
      </w:pPr>
      <w:r w:rsidRPr="00F46028">
        <w:rPr>
          <w:rFonts w:ascii="Bookman Old Style" w:hAnsi="Bookman Old Style" w:cs="Arial"/>
        </w:rPr>
        <w:lastRenderedPageBreak/>
        <w:t>Cordialmente,</w:t>
      </w:r>
    </w:p>
    <w:p w:rsidR="00D669BB" w:rsidRDefault="00D669BB" w:rsidP="00D669BB">
      <w:pPr>
        <w:contextualSpacing/>
        <w:jc w:val="both"/>
        <w:rPr>
          <w:rFonts w:ascii="Bookman Old Style" w:hAnsi="Bookman Old Style"/>
          <w:color w:val="000000" w:themeColor="text1"/>
        </w:rPr>
      </w:pPr>
    </w:p>
    <w:p w:rsidR="00D669BB" w:rsidRPr="00F46028" w:rsidRDefault="00D669BB" w:rsidP="00D669BB">
      <w:pPr>
        <w:contextualSpacing/>
        <w:jc w:val="both"/>
        <w:rPr>
          <w:rFonts w:ascii="Bookman Old Style" w:hAnsi="Bookman Old Style"/>
          <w:color w:val="000000" w:themeColor="text1"/>
        </w:rPr>
      </w:pPr>
    </w:p>
    <w:tbl>
      <w:tblPr>
        <w:tblStyle w:val="Tablaconcuadrcula"/>
        <w:tblW w:w="0" w:type="auto"/>
        <w:tblLook w:val="04A0" w:firstRow="1" w:lastRow="0" w:firstColumn="1" w:lastColumn="0" w:noHBand="0" w:noVBand="1"/>
      </w:tblPr>
      <w:tblGrid>
        <w:gridCol w:w="4414"/>
        <w:gridCol w:w="4414"/>
      </w:tblGrid>
      <w:tr w:rsidR="00D669BB" w:rsidTr="0027730B">
        <w:tc>
          <w:tcPr>
            <w:tcW w:w="4414" w:type="dxa"/>
          </w:tcPr>
          <w:p w:rsidR="00D669BB" w:rsidRDefault="00D669BB" w:rsidP="0027730B">
            <w:pPr>
              <w:pStyle w:val="Sinespaciado"/>
              <w:tabs>
                <w:tab w:val="left" w:pos="8055"/>
              </w:tabs>
              <w:jc w:val="center"/>
              <w:rPr>
                <w:rFonts w:ascii="Bookman Old Style" w:hAnsi="Bookman Old Style" w:cs="Arial"/>
                <w:b/>
              </w:rPr>
            </w:pPr>
          </w:p>
          <w:p w:rsidR="00D669BB" w:rsidRDefault="00D669BB" w:rsidP="0027730B">
            <w:pPr>
              <w:pStyle w:val="Sinespaciado"/>
              <w:tabs>
                <w:tab w:val="left" w:pos="8055"/>
              </w:tabs>
              <w:jc w:val="center"/>
              <w:rPr>
                <w:rFonts w:ascii="Bookman Old Style" w:hAnsi="Bookman Old Style" w:cs="Arial"/>
                <w:b/>
              </w:rPr>
            </w:pPr>
          </w:p>
          <w:p w:rsidR="00D669BB" w:rsidRDefault="00D669BB" w:rsidP="0027730B">
            <w:pPr>
              <w:pStyle w:val="Sinespaciado"/>
              <w:tabs>
                <w:tab w:val="left" w:pos="8055"/>
              </w:tabs>
              <w:jc w:val="center"/>
              <w:rPr>
                <w:rFonts w:ascii="Bookman Old Style" w:hAnsi="Bookman Old Style" w:cs="Arial"/>
                <w:b/>
              </w:rPr>
            </w:pPr>
          </w:p>
          <w:p w:rsidR="00D669BB" w:rsidRDefault="00D669BB" w:rsidP="0027730B">
            <w:pPr>
              <w:pStyle w:val="Sinespaciado"/>
              <w:tabs>
                <w:tab w:val="left" w:pos="8055"/>
              </w:tabs>
              <w:jc w:val="center"/>
              <w:rPr>
                <w:rFonts w:ascii="Bookman Old Style" w:hAnsi="Bookman Old Style" w:cs="Arial"/>
                <w:b/>
              </w:rPr>
            </w:pPr>
          </w:p>
          <w:p w:rsidR="00D669BB" w:rsidRPr="00F46028" w:rsidRDefault="00D669BB" w:rsidP="0027730B">
            <w:pPr>
              <w:pStyle w:val="Sinespaciado"/>
              <w:tabs>
                <w:tab w:val="left" w:pos="8055"/>
              </w:tabs>
              <w:jc w:val="center"/>
              <w:rPr>
                <w:rFonts w:ascii="Bookman Old Style" w:hAnsi="Bookman Old Style" w:cs="Arial"/>
                <w:b/>
              </w:rPr>
            </w:pPr>
            <w:r w:rsidRPr="00F46028">
              <w:rPr>
                <w:rFonts w:ascii="Bookman Old Style" w:hAnsi="Bookman Old Style" w:cs="Arial"/>
                <w:b/>
              </w:rPr>
              <w:t>JUAN CARLOS LOZADA VARGAS</w:t>
            </w:r>
          </w:p>
          <w:p w:rsidR="00D669BB" w:rsidRPr="00F46028" w:rsidRDefault="00D669BB" w:rsidP="0027730B">
            <w:pPr>
              <w:pStyle w:val="Sinespaciado"/>
              <w:tabs>
                <w:tab w:val="left" w:pos="8055"/>
              </w:tabs>
              <w:jc w:val="center"/>
              <w:rPr>
                <w:rFonts w:ascii="Bookman Old Style" w:hAnsi="Bookman Old Style" w:cs="Arial"/>
              </w:rPr>
            </w:pPr>
            <w:r w:rsidRPr="00F46028">
              <w:rPr>
                <w:rFonts w:ascii="Bookman Old Style" w:hAnsi="Bookman Old Style" w:cs="Arial"/>
              </w:rPr>
              <w:t>Representante a la Cámara</w:t>
            </w:r>
            <w:r>
              <w:rPr>
                <w:rFonts w:ascii="Bookman Old Style" w:hAnsi="Bookman Old Style" w:cs="Arial"/>
              </w:rPr>
              <w:t>.</w:t>
            </w:r>
          </w:p>
          <w:p w:rsidR="00D669BB" w:rsidRPr="00ED06C0" w:rsidRDefault="00D669BB" w:rsidP="0027730B">
            <w:pPr>
              <w:pStyle w:val="Sinespaciado"/>
              <w:tabs>
                <w:tab w:val="left" w:pos="8055"/>
              </w:tabs>
              <w:jc w:val="center"/>
              <w:rPr>
                <w:rFonts w:ascii="Bookman Old Style" w:hAnsi="Bookman Old Style" w:cs="Arial"/>
              </w:rPr>
            </w:pPr>
            <w:r w:rsidRPr="00F46028">
              <w:rPr>
                <w:rFonts w:ascii="Bookman Old Style" w:hAnsi="Bookman Old Style" w:cs="Arial"/>
              </w:rPr>
              <w:t>Ponente</w:t>
            </w:r>
            <w:r>
              <w:rPr>
                <w:rFonts w:ascii="Bookman Old Style" w:hAnsi="Bookman Old Style" w:cs="Arial"/>
              </w:rPr>
              <w:t xml:space="preserve"> Coordinador.</w:t>
            </w:r>
          </w:p>
        </w:tc>
        <w:tc>
          <w:tcPr>
            <w:tcW w:w="4414" w:type="dxa"/>
          </w:tcPr>
          <w:p w:rsidR="00D669BB" w:rsidRDefault="00D669BB" w:rsidP="0027730B">
            <w:pPr>
              <w:pStyle w:val="Sinespaciado"/>
              <w:tabs>
                <w:tab w:val="left" w:pos="8055"/>
              </w:tabs>
              <w:jc w:val="center"/>
              <w:rPr>
                <w:rFonts w:ascii="Bookman Old Style" w:hAnsi="Bookman Old Style" w:cs="Arial"/>
                <w:b/>
              </w:rPr>
            </w:pPr>
          </w:p>
          <w:p w:rsidR="00D669BB" w:rsidRDefault="00D669BB" w:rsidP="0027730B">
            <w:pPr>
              <w:pStyle w:val="Sinespaciado"/>
              <w:tabs>
                <w:tab w:val="left" w:pos="8055"/>
              </w:tabs>
              <w:jc w:val="center"/>
              <w:rPr>
                <w:rFonts w:ascii="Bookman Old Style" w:hAnsi="Bookman Old Style" w:cs="Arial"/>
                <w:b/>
              </w:rPr>
            </w:pPr>
          </w:p>
          <w:p w:rsidR="00D669BB" w:rsidRDefault="00D669BB" w:rsidP="0027730B">
            <w:pPr>
              <w:pStyle w:val="Sinespaciado"/>
              <w:tabs>
                <w:tab w:val="left" w:pos="8055"/>
              </w:tabs>
              <w:jc w:val="center"/>
              <w:rPr>
                <w:rFonts w:ascii="Bookman Old Style" w:hAnsi="Bookman Old Style" w:cs="Arial"/>
                <w:b/>
              </w:rPr>
            </w:pPr>
          </w:p>
          <w:p w:rsidR="00D669BB" w:rsidRDefault="00D669BB" w:rsidP="0027730B">
            <w:pPr>
              <w:pStyle w:val="Sinespaciado"/>
              <w:tabs>
                <w:tab w:val="left" w:pos="8055"/>
              </w:tabs>
              <w:jc w:val="center"/>
              <w:rPr>
                <w:rFonts w:ascii="Bookman Old Style" w:hAnsi="Bookman Old Style" w:cs="Arial"/>
                <w:b/>
              </w:rPr>
            </w:pPr>
          </w:p>
          <w:p w:rsidR="00D669BB" w:rsidRPr="00F46028" w:rsidRDefault="00D669BB" w:rsidP="0027730B">
            <w:pPr>
              <w:pStyle w:val="Sinespaciado"/>
              <w:tabs>
                <w:tab w:val="left" w:pos="8055"/>
              </w:tabs>
              <w:ind w:left="7" w:right="84" w:hanging="7"/>
              <w:jc w:val="center"/>
              <w:rPr>
                <w:rFonts w:ascii="Bookman Old Style" w:hAnsi="Bookman Old Style" w:cs="Arial"/>
                <w:b/>
              </w:rPr>
            </w:pPr>
            <w:r>
              <w:rPr>
                <w:rFonts w:ascii="Bookman Old Style" w:hAnsi="Bookman Old Style" w:cs="Arial"/>
                <w:b/>
              </w:rPr>
              <w:t>JORGE ALEJANDRO OCAMPO</w:t>
            </w:r>
          </w:p>
          <w:p w:rsidR="00D669BB" w:rsidRPr="00F46028" w:rsidRDefault="00D669BB" w:rsidP="0027730B">
            <w:pPr>
              <w:pStyle w:val="Sinespaciado"/>
              <w:tabs>
                <w:tab w:val="left" w:pos="8055"/>
              </w:tabs>
              <w:jc w:val="center"/>
              <w:rPr>
                <w:rFonts w:ascii="Bookman Old Style" w:hAnsi="Bookman Old Style" w:cs="Arial"/>
              </w:rPr>
            </w:pPr>
            <w:r w:rsidRPr="00F46028">
              <w:rPr>
                <w:rFonts w:ascii="Bookman Old Style" w:hAnsi="Bookman Old Style" w:cs="Arial"/>
              </w:rPr>
              <w:t>Representante a la Cámara</w:t>
            </w:r>
            <w:r>
              <w:rPr>
                <w:rFonts w:ascii="Bookman Old Style" w:hAnsi="Bookman Old Style" w:cs="Arial"/>
              </w:rPr>
              <w:t>.</w:t>
            </w:r>
          </w:p>
          <w:p w:rsidR="00D669BB" w:rsidRDefault="00D669BB" w:rsidP="0027730B">
            <w:pPr>
              <w:contextualSpacing/>
              <w:jc w:val="center"/>
              <w:rPr>
                <w:rFonts w:ascii="Bookman Old Style" w:hAnsi="Bookman Old Style"/>
                <w:color w:val="000000" w:themeColor="text1"/>
              </w:rPr>
            </w:pPr>
            <w:r w:rsidRPr="00F46028">
              <w:rPr>
                <w:rFonts w:ascii="Bookman Old Style" w:hAnsi="Bookman Old Style" w:cs="Arial"/>
              </w:rPr>
              <w:t>Ponente</w:t>
            </w:r>
            <w:r>
              <w:rPr>
                <w:rFonts w:ascii="Bookman Old Style" w:hAnsi="Bookman Old Style" w:cs="Arial"/>
              </w:rPr>
              <w:t xml:space="preserve"> Coordinador.</w:t>
            </w:r>
          </w:p>
        </w:tc>
      </w:tr>
      <w:tr w:rsidR="00D669BB" w:rsidTr="0027730B">
        <w:tc>
          <w:tcPr>
            <w:tcW w:w="4414" w:type="dxa"/>
          </w:tcPr>
          <w:p w:rsidR="00D669BB" w:rsidRDefault="00D669BB" w:rsidP="0027730B">
            <w:pPr>
              <w:pStyle w:val="Sinespaciado"/>
              <w:tabs>
                <w:tab w:val="left" w:pos="8055"/>
              </w:tabs>
              <w:jc w:val="center"/>
              <w:rPr>
                <w:rFonts w:ascii="Bookman Old Style" w:hAnsi="Bookman Old Style" w:cs="Arial"/>
                <w:b/>
              </w:rPr>
            </w:pPr>
          </w:p>
          <w:p w:rsidR="00D669BB" w:rsidRDefault="00D669BB" w:rsidP="0027730B">
            <w:pPr>
              <w:pStyle w:val="Sinespaciado"/>
              <w:tabs>
                <w:tab w:val="left" w:pos="8055"/>
              </w:tabs>
              <w:jc w:val="center"/>
              <w:rPr>
                <w:rFonts w:ascii="Bookman Old Style" w:hAnsi="Bookman Old Style" w:cs="Arial"/>
                <w:b/>
              </w:rPr>
            </w:pPr>
          </w:p>
          <w:p w:rsidR="00D669BB" w:rsidRDefault="00D669BB" w:rsidP="0027730B">
            <w:pPr>
              <w:pStyle w:val="Sinespaciado"/>
              <w:tabs>
                <w:tab w:val="left" w:pos="8055"/>
              </w:tabs>
              <w:jc w:val="center"/>
              <w:rPr>
                <w:rFonts w:ascii="Bookman Old Style" w:hAnsi="Bookman Old Style" w:cs="Arial"/>
                <w:b/>
              </w:rPr>
            </w:pPr>
          </w:p>
          <w:p w:rsidR="00D669BB" w:rsidRDefault="00D669BB" w:rsidP="0027730B">
            <w:pPr>
              <w:pStyle w:val="Sinespaciado"/>
              <w:tabs>
                <w:tab w:val="left" w:pos="8055"/>
              </w:tabs>
              <w:jc w:val="center"/>
              <w:rPr>
                <w:rFonts w:ascii="Bookman Old Style" w:hAnsi="Bookman Old Style" w:cs="Arial"/>
                <w:b/>
              </w:rPr>
            </w:pPr>
          </w:p>
          <w:p w:rsidR="00D669BB" w:rsidRPr="00F46028" w:rsidRDefault="00D669BB" w:rsidP="0027730B">
            <w:pPr>
              <w:pStyle w:val="Sinespaciado"/>
              <w:tabs>
                <w:tab w:val="left" w:pos="8055"/>
              </w:tabs>
              <w:jc w:val="center"/>
              <w:rPr>
                <w:rFonts w:ascii="Bookman Old Style" w:hAnsi="Bookman Old Style" w:cs="Arial"/>
                <w:b/>
              </w:rPr>
            </w:pPr>
            <w:r>
              <w:rPr>
                <w:rFonts w:ascii="Bookman Old Style" w:hAnsi="Bookman Old Style" w:cs="Arial"/>
                <w:b/>
              </w:rPr>
              <w:t>MARELEN CASTILLO TORRES</w:t>
            </w:r>
          </w:p>
          <w:p w:rsidR="00D669BB" w:rsidRPr="00F46028" w:rsidRDefault="00D669BB" w:rsidP="0027730B">
            <w:pPr>
              <w:pStyle w:val="Sinespaciado"/>
              <w:tabs>
                <w:tab w:val="left" w:pos="8055"/>
              </w:tabs>
              <w:jc w:val="center"/>
              <w:rPr>
                <w:rFonts w:ascii="Bookman Old Style" w:hAnsi="Bookman Old Style" w:cs="Arial"/>
              </w:rPr>
            </w:pPr>
            <w:r w:rsidRPr="00F46028">
              <w:rPr>
                <w:rFonts w:ascii="Bookman Old Style" w:hAnsi="Bookman Old Style" w:cs="Arial"/>
              </w:rPr>
              <w:t>Representante a la Cámara</w:t>
            </w:r>
            <w:r>
              <w:rPr>
                <w:rFonts w:ascii="Bookman Old Style" w:hAnsi="Bookman Old Style" w:cs="Arial"/>
              </w:rPr>
              <w:t>.</w:t>
            </w:r>
          </w:p>
          <w:p w:rsidR="00D669BB" w:rsidRDefault="00D669BB" w:rsidP="0027730B">
            <w:pPr>
              <w:contextualSpacing/>
              <w:jc w:val="center"/>
              <w:rPr>
                <w:rFonts w:ascii="Bookman Old Style" w:hAnsi="Bookman Old Style"/>
                <w:color w:val="000000" w:themeColor="text1"/>
              </w:rPr>
            </w:pPr>
            <w:r w:rsidRPr="00F46028">
              <w:rPr>
                <w:rFonts w:ascii="Bookman Old Style" w:hAnsi="Bookman Old Style" w:cs="Arial"/>
              </w:rPr>
              <w:t>Ponente</w:t>
            </w:r>
            <w:r>
              <w:rPr>
                <w:rFonts w:ascii="Bookman Old Style" w:hAnsi="Bookman Old Style" w:cs="Arial"/>
              </w:rPr>
              <w:t>.</w:t>
            </w:r>
          </w:p>
        </w:tc>
        <w:tc>
          <w:tcPr>
            <w:tcW w:w="4414" w:type="dxa"/>
          </w:tcPr>
          <w:p w:rsidR="00D669BB" w:rsidRDefault="00D669BB" w:rsidP="0027730B">
            <w:pPr>
              <w:pStyle w:val="Sinespaciado"/>
              <w:tabs>
                <w:tab w:val="left" w:pos="8055"/>
              </w:tabs>
              <w:jc w:val="center"/>
              <w:rPr>
                <w:rFonts w:ascii="Bookman Old Style" w:hAnsi="Bookman Old Style" w:cs="Arial"/>
                <w:b/>
              </w:rPr>
            </w:pPr>
          </w:p>
          <w:p w:rsidR="00D669BB" w:rsidRDefault="00D669BB" w:rsidP="0027730B">
            <w:pPr>
              <w:pStyle w:val="Sinespaciado"/>
              <w:tabs>
                <w:tab w:val="left" w:pos="8055"/>
              </w:tabs>
              <w:jc w:val="center"/>
              <w:rPr>
                <w:rFonts w:ascii="Bookman Old Style" w:hAnsi="Bookman Old Style" w:cs="Arial"/>
                <w:b/>
              </w:rPr>
            </w:pPr>
          </w:p>
          <w:p w:rsidR="00D669BB" w:rsidRDefault="00D669BB" w:rsidP="0027730B">
            <w:pPr>
              <w:pStyle w:val="Sinespaciado"/>
              <w:tabs>
                <w:tab w:val="left" w:pos="8055"/>
              </w:tabs>
              <w:jc w:val="center"/>
              <w:rPr>
                <w:rFonts w:ascii="Bookman Old Style" w:hAnsi="Bookman Old Style" w:cs="Arial"/>
                <w:b/>
              </w:rPr>
            </w:pPr>
          </w:p>
          <w:p w:rsidR="00D669BB" w:rsidRDefault="00D669BB" w:rsidP="0027730B">
            <w:pPr>
              <w:pStyle w:val="Sinespaciado"/>
              <w:tabs>
                <w:tab w:val="left" w:pos="8055"/>
              </w:tabs>
              <w:jc w:val="center"/>
              <w:rPr>
                <w:rFonts w:ascii="Bookman Old Style" w:hAnsi="Bookman Old Style" w:cs="Arial"/>
                <w:b/>
              </w:rPr>
            </w:pPr>
          </w:p>
          <w:p w:rsidR="00D669BB" w:rsidRPr="00F46028" w:rsidRDefault="00D669BB" w:rsidP="0027730B">
            <w:pPr>
              <w:pStyle w:val="Sinespaciado"/>
              <w:tabs>
                <w:tab w:val="left" w:pos="8055"/>
              </w:tabs>
              <w:jc w:val="center"/>
              <w:rPr>
                <w:rFonts w:ascii="Bookman Old Style" w:hAnsi="Bookman Old Style" w:cs="Arial"/>
                <w:b/>
              </w:rPr>
            </w:pPr>
            <w:r>
              <w:rPr>
                <w:rFonts w:ascii="Bookman Old Style" w:hAnsi="Bookman Old Style" w:cs="Arial"/>
                <w:b/>
              </w:rPr>
              <w:t>LUIS ALBERTO ALBAN URBANO</w:t>
            </w:r>
          </w:p>
          <w:p w:rsidR="00D669BB" w:rsidRPr="00F46028" w:rsidRDefault="00D669BB" w:rsidP="0027730B">
            <w:pPr>
              <w:pStyle w:val="Sinespaciado"/>
              <w:tabs>
                <w:tab w:val="left" w:pos="8055"/>
              </w:tabs>
              <w:jc w:val="center"/>
              <w:rPr>
                <w:rFonts w:ascii="Bookman Old Style" w:hAnsi="Bookman Old Style" w:cs="Arial"/>
              </w:rPr>
            </w:pPr>
            <w:r w:rsidRPr="00F46028">
              <w:rPr>
                <w:rFonts w:ascii="Bookman Old Style" w:hAnsi="Bookman Old Style" w:cs="Arial"/>
              </w:rPr>
              <w:t>Representante a la Cámara</w:t>
            </w:r>
            <w:r>
              <w:rPr>
                <w:rFonts w:ascii="Bookman Old Style" w:hAnsi="Bookman Old Style" w:cs="Arial"/>
              </w:rPr>
              <w:t>.</w:t>
            </w:r>
          </w:p>
          <w:p w:rsidR="00D669BB" w:rsidRDefault="00D669BB" w:rsidP="0027730B">
            <w:pPr>
              <w:contextualSpacing/>
              <w:jc w:val="center"/>
              <w:rPr>
                <w:rFonts w:ascii="Bookman Old Style" w:hAnsi="Bookman Old Style"/>
                <w:color w:val="000000" w:themeColor="text1"/>
              </w:rPr>
            </w:pPr>
            <w:r w:rsidRPr="00F46028">
              <w:rPr>
                <w:rFonts w:ascii="Bookman Old Style" w:hAnsi="Bookman Old Style" w:cs="Arial"/>
              </w:rPr>
              <w:t>Ponente</w:t>
            </w:r>
            <w:r>
              <w:rPr>
                <w:rFonts w:ascii="Bookman Old Style" w:hAnsi="Bookman Old Style" w:cs="Arial"/>
              </w:rPr>
              <w:t>.</w:t>
            </w:r>
          </w:p>
        </w:tc>
      </w:tr>
      <w:tr w:rsidR="00D669BB" w:rsidTr="0027730B">
        <w:tc>
          <w:tcPr>
            <w:tcW w:w="4414" w:type="dxa"/>
          </w:tcPr>
          <w:p w:rsidR="00D669BB" w:rsidRDefault="00D669BB" w:rsidP="0027730B">
            <w:pPr>
              <w:pStyle w:val="Sinespaciado"/>
              <w:tabs>
                <w:tab w:val="left" w:pos="8055"/>
              </w:tabs>
              <w:rPr>
                <w:rFonts w:ascii="Bookman Old Style" w:hAnsi="Bookman Old Style" w:cs="Arial"/>
                <w:b/>
              </w:rPr>
            </w:pPr>
          </w:p>
          <w:p w:rsidR="00D669BB" w:rsidRDefault="00D669BB" w:rsidP="0027730B">
            <w:pPr>
              <w:pStyle w:val="Sinespaciado"/>
              <w:tabs>
                <w:tab w:val="left" w:pos="8055"/>
              </w:tabs>
              <w:rPr>
                <w:rFonts w:ascii="Bookman Old Style" w:hAnsi="Bookman Old Style" w:cs="Arial"/>
                <w:b/>
              </w:rPr>
            </w:pPr>
          </w:p>
          <w:p w:rsidR="00D669BB" w:rsidRDefault="00D669BB" w:rsidP="0027730B">
            <w:pPr>
              <w:pStyle w:val="Sinespaciado"/>
              <w:tabs>
                <w:tab w:val="left" w:pos="8055"/>
              </w:tabs>
              <w:rPr>
                <w:rFonts w:ascii="Bookman Old Style" w:hAnsi="Bookman Old Style" w:cs="Arial"/>
                <w:b/>
              </w:rPr>
            </w:pPr>
          </w:p>
          <w:p w:rsidR="00D669BB" w:rsidRDefault="00D669BB" w:rsidP="0027730B">
            <w:pPr>
              <w:pStyle w:val="Sinespaciado"/>
              <w:tabs>
                <w:tab w:val="left" w:pos="8055"/>
              </w:tabs>
              <w:rPr>
                <w:rFonts w:ascii="Bookman Old Style" w:hAnsi="Bookman Old Style" w:cs="Arial"/>
                <w:b/>
              </w:rPr>
            </w:pPr>
          </w:p>
          <w:p w:rsidR="00D669BB" w:rsidRPr="00F46028" w:rsidRDefault="00D669BB" w:rsidP="0027730B">
            <w:pPr>
              <w:pStyle w:val="Sinespaciado"/>
              <w:tabs>
                <w:tab w:val="left" w:pos="8055"/>
              </w:tabs>
              <w:jc w:val="center"/>
              <w:rPr>
                <w:rFonts w:ascii="Bookman Old Style" w:hAnsi="Bookman Old Style" w:cs="Arial"/>
                <w:b/>
              </w:rPr>
            </w:pPr>
            <w:r>
              <w:rPr>
                <w:rFonts w:ascii="Bookman Old Style" w:hAnsi="Bookman Old Style" w:cs="Arial"/>
                <w:b/>
              </w:rPr>
              <w:t>CATHERINE JUVINAO CLAVIJO</w:t>
            </w:r>
          </w:p>
          <w:p w:rsidR="00D669BB" w:rsidRPr="00F46028" w:rsidRDefault="00D669BB" w:rsidP="0027730B">
            <w:pPr>
              <w:pStyle w:val="Sinespaciado"/>
              <w:tabs>
                <w:tab w:val="left" w:pos="8055"/>
              </w:tabs>
              <w:jc w:val="center"/>
              <w:rPr>
                <w:rFonts w:ascii="Bookman Old Style" w:hAnsi="Bookman Old Style" w:cs="Arial"/>
              </w:rPr>
            </w:pPr>
            <w:r w:rsidRPr="00F46028">
              <w:rPr>
                <w:rFonts w:ascii="Bookman Old Style" w:hAnsi="Bookman Old Style" w:cs="Arial"/>
              </w:rPr>
              <w:t>Representante a la Cámara</w:t>
            </w:r>
            <w:r>
              <w:rPr>
                <w:rFonts w:ascii="Bookman Old Style" w:hAnsi="Bookman Old Style" w:cs="Arial"/>
              </w:rPr>
              <w:t>.</w:t>
            </w:r>
          </w:p>
          <w:p w:rsidR="00D669BB" w:rsidRDefault="00D669BB" w:rsidP="0027730B">
            <w:pPr>
              <w:contextualSpacing/>
              <w:jc w:val="center"/>
              <w:rPr>
                <w:rFonts w:ascii="Bookman Old Style" w:hAnsi="Bookman Old Style"/>
                <w:color w:val="000000" w:themeColor="text1"/>
              </w:rPr>
            </w:pPr>
            <w:r w:rsidRPr="00F46028">
              <w:rPr>
                <w:rFonts w:ascii="Bookman Old Style" w:hAnsi="Bookman Old Style" w:cs="Arial"/>
              </w:rPr>
              <w:t>Ponente</w:t>
            </w:r>
            <w:r>
              <w:rPr>
                <w:rFonts w:ascii="Bookman Old Style" w:hAnsi="Bookman Old Style" w:cs="Arial"/>
              </w:rPr>
              <w:t>.</w:t>
            </w:r>
          </w:p>
        </w:tc>
        <w:tc>
          <w:tcPr>
            <w:tcW w:w="4414" w:type="dxa"/>
          </w:tcPr>
          <w:p w:rsidR="00D669BB" w:rsidRDefault="00D669BB" w:rsidP="0027730B">
            <w:pPr>
              <w:pStyle w:val="Sinespaciado"/>
              <w:tabs>
                <w:tab w:val="left" w:pos="8055"/>
              </w:tabs>
              <w:jc w:val="center"/>
              <w:rPr>
                <w:rFonts w:ascii="Bookman Old Style" w:hAnsi="Bookman Old Style" w:cs="Arial"/>
                <w:b/>
              </w:rPr>
            </w:pPr>
          </w:p>
          <w:p w:rsidR="00D669BB" w:rsidRDefault="00D669BB" w:rsidP="0027730B">
            <w:pPr>
              <w:pStyle w:val="Sinespaciado"/>
              <w:tabs>
                <w:tab w:val="left" w:pos="8055"/>
              </w:tabs>
              <w:jc w:val="center"/>
              <w:rPr>
                <w:rFonts w:ascii="Bookman Old Style" w:hAnsi="Bookman Old Style" w:cs="Arial"/>
                <w:b/>
              </w:rPr>
            </w:pPr>
          </w:p>
          <w:p w:rsidR="00D669BB" w:rsidRDefault="00D669BB" w:rsidP="0027730B">
            <w:pPr>
              <w:pStyle w:val="Sinespaciado"/>
              <w:tabs>
                <w:tab w:val="left" w:pos="8055"/>
              </w:tabs>
              <w:jc w:val="center"/>
              <w:rPr>
                <w:rFonts w:ascii="Bookman Old Style" w:hAnsi="Bookman Old Style" w:cs="Arial"/>
                <w:b/>
              </w:rPr>
            </w:pPr>
          </w:p>
          <w:p w:rsidR="00D669BB" w:rsidRDefault="00D669BB" w:rsidP="0027730B">
            <w:pPr>
              <w:pStyle w:val="Sinespaciado"/>
              <w:tabs>
                <w:tab w:val="left" w:pos="8055"/>
              </w:tabs>
              <w:jc w:val="center"/>
              <w:rPr>
                <w:rFonts w:ascii="Bookman Old Style" w:hAnsi="Bookman Old Style" w:cs="Arial"/>
                <w:b/>
              </w:rPr>
            </w:pPr>
          </w:p>
          <w:p w:rsidR="00D669BB" w:rsidRPr="00F46028" w:rsidRDefault="00D669BB" w:rsidP="0027730B">
            <w:pPr>
              <w:pStyle w:val="Sinespaciado"/>
              <w:tabs>
                <w:tab w:val="left" w:pos="8055"/>
              </w:tabs>
              <w:jc w:val="center"/>
              <w:rPr>
                <w:rFonts w:ascii="Bookman Old Style" w:hAnsi="Bookman Old Style" w:cs="Arial"/>
                <w:b/>
              </w:rPr>
            </w:pPr>
            <w:r>
              <w:rPr>
                <w:rFonts w:ascii="Bookman Old Style" w:hAnsi="Bookman Old Style" w:cs="Arial"/>
                <w:b/>
              </w:rPr>
              <w:t>HERNAN DARIO CADAVID</w:t>
            </w:r>
          </w:p>
          <w:p w:rsidR="00D669BB" w:rsidRPr="00F46028" w:rsidRDefault="00D669BB" w:rsidP="0027730B">
            <w:pPr>
              <w:pStyle w:val="Sinespaciado"/>
              <w:tabs>
                <w:tab w:val="left" w:pos="8055"/>
              </w:tabs>
              <w:jc w:val="center"/>
              <w:rPr>
                <w:rFonts w:ascii="Bookman Old Style" w:hAnsi="Bookman Old Style" w:cs="Arial"/>
              </w:rPr>
            </w:pPr>
            <w:r w:rsidRPr="00F46028">
              <w:rPr>
                <w:rFonts w:ascii="Bookman Old Style" w:hAnsi="Bookman Old Style" w:cs="Arial"/>
              </w:rPr>
              <w:t>Representante a la Cámara</w:t>
            </w:r>
            <w:r>
              <w:rPr>
                <w:rFonts w:ascii="Bookman Old Style" w:hAnsi="Bookman Old Style" w:cs="Arial"/>
              </w:rPr>
              <w:t>.</w:t>
            </w:r>
          </w:p>
          <w:p w:rsidR="00D669BB" w:rsidRDefault="00D669BB" w:rsidP="0027730B">
            <w:pPr>
              <w:contextualSpacing/>
              <w:jc w:val="center"/>
              <w:rPr>
                <w:rFonts w:ascii="Bookman Old Style" w:hAnsi="Bookman Old Style"/>
                <w:color w:val="000000" w:themeColor="text1"/>
              </w:rPr>
            </w:pPr>
            <w:r w:rsidRPr="00F46028">
              <w:rPr>
                <w:rFonts w:ascii="Bookman Old Style" w:hAnsi="Bookman Old Style" w:cs="Arial"/>
              </w:rPr>
              <w:t>Ponente</w:t>
            </w:r>
            <w:r>
              <w:rPr>
                <w:rFonts w:ascii="Bookman Old Style" w:hAnsi="Bookman Old Style" w:cs="Arial"/>
              </w:rPr>
              <w:t>.</w:t>
            </w:r>
          </w:p>
        </w:tc>
      </w:tr>
      <w:tr w:rsidR="00D669BB" w:rsidTr="0027730B">
        <w:tc>
          <w:tcPr>
            <w:tcW w:w="4414" w:type="dxa"/>
          </w:tcPr>
          <w:p w:rsidR="00D669BB" w:rsidRDefault="00D669BB" w:rsidP="0027730B">
            <w:pPr>
              <w:pStyle w:val="Sinespaciado"/>
              <w:tabs>
                <w:tab w:val="left" w:pos="8055"/>
              </w:tabs>
              <w:jc w:val="center"/>
              <w:rPr>
                <w:rFonts w:ascii="Bookman Old Style" w:hAnsi="Bookman Old Style" w:cs="Arial"/>
                <w:b/>
              </w:rPr>
            </w:pPr>
          </w:p>
          <w:p w:rsidR="00D669BB" w:rsidRDefault="00D669BB" w:rsidP="0027730B">
            <w:pPr>
              <w:pStyle w:val="Sinespaciado"/>
              <w:tabs>
                <w:tab w:val="left" w:pos="8055"/>
              </w:tabs>
              <w:jc w:val="center"/>
              <w:rPr>
                <w:rFonts w:ascii="Bookman Old Style" w:hAnsi="Bookman Old Style" w:cs="Arial"/>
                <w:b/>
              </w:rPr>
            </w:pPr>
          </w:p>
          <w:p w:rsidR="00D669BB" w:rsidRDefault="00D669BB" w:rsidP="0027730B">
            <w:pPr>
              <w:pStyle w:val="Sinespaciado"/>
              <w:tabs>
                <w:tab w:val="left" w:pos="8055"/>
              </w:tabs>
              <w:jc w:val="center"/>
              <w:rPr>
                <w:rFonts w:ascii="Bookman Old Style" w:hAnsi="Bookman Old Style" w:cs="Arial"/>
                <w:b/>
              </w:rPr>
            </w:pPr>
          </w:p>
          <w:p w:rsidR="00D669BB" w:rsidRDefault="00D669BB" w:rsidP="0027730B">
            <w:pPr>
              <w:pStyle w:val="Sinespaciado"/>
              <w:tabs>
                <w:tab w:val="left" w:pos="8055"/>
              </w:tabs>
              <w:jc w:val="center"/>
              <w:rPr>
                <w:rFonts w:ascii="Bookman Old Style" w:hAnsi="Bookman Old Style" w:cs="Arial"/>
                <w:b/>
              </w:rPr>
            </w:pPr>
          </w:p>
          <w:p w:rsidR="00D669BB" w:rsidRPr="00F46028" w:rsidRDefault="00D669BB" w:rsidP="0027730B">
            <w:pPr>
              <w:pStyle w:val="Sinespaciado"/>
              <w:tabs>
                <w:tab w:val="left" w:pos="8055"/>
              </w:tabs>
              <w:jc w:val="center"/>
              <w:rPr>
                <w:rFonts w:ascii="Bookman Old Style" w:hAnsi="Bookman Old Style" w:cs="Arial"/>
                <w:b/>
              </w:rPr>
            </w:pPr>
            <w:r>
              <w:rPr>
                <w:rFonts w:ascii="Bookman Old Style" w:hAnsi="Bookman Old Style" w:cs="Arial"/>
                <w:b/>
              </w:rPr>
              <w:t>JULIO CESAR TRIANA QUITERO</w:t>
            </w:r>
          </w:p>
          <w:p w:rsidR="00D669BB" w:rsidRPr="00F46028" w:rsidRDefault="00D669BB" w:rsidP="0027730B">
            <w:pPr>
              <w:pStyle w:val="Sinespaciado"/>
              <w:tabs>
                <w:tab w:val="left" w:pos="8055"/>
              </w:tabs>
              <w:jc w:val="center"/>
              <w:rPr>
                <w:rFonts w:ascii="Bookman Old Style" w:hAnsi="Bookman Old Style" w:cs="Arial"/>
              </w:rPr>
            </w:pPr>
            <w:r w:rsidRPr="00F46028">
              <w:rPr>
                <w:rFonts w:ascii="Bookman Old Style" w:hAnsi="Bookman Old Style" w:cs="Arial"/>
              </w:rPr>
              <w:t>Representante a la Cámara</w:t>
            </w:r>
            <w:r>
              <w:rPr>
                <w:rFonts w:ascii="Bookman Old Style" w:hAnsi="Bookman Old Style" w:cs="Arial"/>
              </w:rPr>
              <w:t>.</w:t>
            </w:r>
          </w:p>
          <w:p w:rsidR="00D669BB" w:rsidRDefault="00D669BB" w:rsidP="0027730B">
            <w:pPr>
              <w:contextualSpacing/>
              <w:jc w:val="center"/>
              <w:rPr>
                <w:rFonts w:ascii="Bookman Old Style" w:hAnsi="Bookman Old Style"/>
                <w:color w:val="000000" w:themeColor="text1"/>
              </w:rPr>
            </w:pPr>
            <w:r w:rsidRPr="00F46028">
              <w:rPr>
                <w:rFonts w:ascii="Bookman Old Style" w:hAnsi="Bookman Old Style" w:cs="Arial"/>
              </w:rPr>
              <w:t>Ponente</w:t>
            </w:r>
            <w:r>
              <w:rPr>
                <w:rFonts w:ascii="Bookman Old Style" w:hAnsi="Bookman Old Style" w:cs="Arial"/>
              </w:rPr>
              <w:t>.</w:t>
            </w:r>
          </w:p>
        </w:tc>
        <w:tc>
          <w:tcPr>
            <w:tcW w:w="4414" w:type="dxa"/>
          </w:tcPr>
          <w:p w:rsidR="00D669BB" w:rsidRDefault="00D669BB" w:rsidP="0027730B">
            <w:pPr>
              <w:pStyle w:val="Sinespaciado"/>
              <w:tabs>
                <w:tab w:val="left" w:pos="8055"/>
              </w:tabs>
              <w:jc w:val="center"/>
              <w:rPr>
                <w:rFonts w:ascii="Bookman Old Style" w:hAnsi="Bookman Old Style" w:cs="Arial"/>
                <w:b/>
              </w:rPr>
            </w:pPr>
          </w:p>
          <w:p w:rsidR="00D669BB" w:rsidRDefault="00D669BB" w:rsidP="0027730B">
            <w:pPr>
              <w:pStyle w:val="Sinespaciado"/>
              <w:tabs>
                <w:tab w:val="left" w:pos="8055"/>
              </w:tabs>
              <w:jc w:val="center"/>
              <w:rPr>
                <w:rFonts w:ascii="Bookman Old Style" w:hAnsi="Bookman Old Style" w:cs="Arial"/>
                <w:b/>
              </w:rPr>
            </w:pPr>
          </w:p>
          <w:p w:rsidR="00D669BB" w:rsidRDefault="00D669BB" w:rsidP="0027730B">
            <w:pPr>
              <w:pStyle w:val="Sinespaciado"/>
              <w:tabs>
                <w:tab w:val="left" w:pos="8055"/>
              </w:tabs>
              <w:jc w:val="center"/>
              <w:rPr>
                <w:rFonts w:ascii="Bookman Old Style" w:hAnsi="Bookman Old Style" w:cs="Arial"/>
                <w:b/>
              </w:rPr>
            </w:pPr>
          </w:p>
          <w:p w:rsidR="00D669BB" w:rsidRDefault="00D669BB" w:rsidP="0027730B">
            <w:pPr>
              <w:pStyle w:val="Sinespaciado"/>
              <w:tabs>
                <w:tab w:val="left" w:pos="8055"/>
              </w:tabs>
              <w:rPr>
                <w:rFonts w:ascii="Bookman Old Style" w:hAnsi="Bookman Old Style" w:cs="Arial"/>
                <w:b/>
              </w:rPr>
            </w:pPr>
          </w:p>
          <w:p w:rsidR="00D669BB" w:rsidRPr="00F46028" w:rsidRDefault="00D669BB" w:rsidP="0027730B">
            <w:pPr>
              <w:pStyle w:val="Sinespaciado"/>
              <w:tabs>
                <w:tab w:val="left" w:pos="8055"/>
              </w:tabs>
              <w:jc w:val="center"/>
              <w:rPr>
                <w:rFonts w:ascii="Bookman Old Style" w:hAnsi="Bookman Old Style" w:cs="Arial"/>
                <w:b/>
              </w:rPr>
            </w:pPr>
            <w:r>
              <w:rPr>
                <w:rFonts w:ascii="Bookman Old Style" w:hAnsi="Bookman Old Style" w:cs="Arial"/>
                <w:b/>
              </w:rPr>
              <w:t>JORGE ELIECER TAMAYO</w:t>
            </w:r>
          </w:p>
          <w:p w:rsidR="00D669BB" w:rsidRPr="00F46028" w:rsidRDefault="00D669BB" w:rsidP="0027730B">
            <w:pPr>
              <w:pStyle w:val="Sinespaciado"/>
              <w:tabs>
                <w:tab w:val="left" w:pos="8055"/>
              </w:tabs>
              <w:jc w:val="center"/>
              <w:rPr>
                <w:rFonts w:ascii="Bookman Old Style" w:hAnsi="Bookman Old Style" w:cs="Arial"/>
              </w:rPr>
            </w:pPr>
            <w:r w:rsidRPr="00F46028">
              <w:rPr>
                <w:rFonts w:ascii="Bookman Old Style" w:hAnsi="Bookman Old Style" w:cs="Arial"/>
              </w:rPr>
              <w:t>Representante a la Cámara</w:t>
            </w:r>
            <w:r>
              <w:rPr>
                <w:rFonts w:ascii="Bookman Old Style" w:hAnsi="Bookman Old Style" w:cs="Arial"/>
              </w:rPr>
              <w:t>.</w:t>
            </w:r>
          </w:p>
          <w:p w:rsidR="00D669BB" w:rsidRDefault="00D669BB" w:rsidP="0027730B">
            <w:pPr>
              <w:contextualSpacing/>
              <w:jc w:val="center"/>
              <w:rPr>
                <w:rFonts w:ascii="Bookman Old Style" w:hAnsi="Bookman Old Style"/>
                <w:color w:val="000000" w:themeColor="text1"/>
              </w:rPr>
            </w:pPr>
            <w:r w:rsidRPr="00F46028">
              <w:rPr>
                <w:rFonts w:ascii="Bookman Old Style" w:hAnsi="Bookman Old Style" w:cs="Arial"/>
              </w:rPr>
              <w:t>Ponente</w:t>
            </w:r>
            <w:r>
              <w:rPr>
                <w:rFonts w:ascii="Bookman Old Style" w:hAnsi="Bookman Old Style" w:cs="Arial"/>
              </w:rPr>
              <w:t>.</w:t>
            </w:r>
          </w:p>
        </w:tc>
      </w:tr>
      <w:tr w:rsidR="00D669BB" w:rsidTr="0027730B">
        <w:tc>
          <w:tcPr>
            <w:tcW w:w="4414" w:type="dxa"/>
          </w:tcPr>
          <w:p w:rsidR="00D669BB" w:rsidRDefault="00D669BB" w:rsidP="0027730B">
            <w:pPr>
              <w:pStyle w:val="Sinespaciado"/>
              <w:tabs>
                <w:tab w:val="left" w:pos="8055"/>
              </w:tabs>
              <w:jc w:val="center"/>
              <w:rPr>
                <w:rFonts w:ascii="Bookman Old Style" w:hAnsi="Bookman Old Style" w:cs="Arial"/>
                <w:b/>
              </w:rPr>
            </w:pPr>
          </w:p>
          <w:p w:rsidR="00D669BB" w:rsidRDefault="00D669BB" w:rsidP="0027730B">
            <w:pPr>
              <w:pStyle w:val="Sinespaciado"/>
              <w:tabs>
                <w:tab w:val="left" w:pos="8055"/>
              </w:tabs>
              <w:jc w:val="center"/>
              <w:rPr>
                <w:rFonts w:ascii="Bookman Old Style" w:hAnsi="Bookman Old Style" w:cs="Arial"/>
                <w:b/>
              </w:rPr>
            </w:pPr>
          </w:p>
          <w:p w:rsidR="00D669BB" w:rsidRDefault="00D669BB" w:rsidP="0027730B">
            <w:pPr>
              <w:pStyle w:val="Sinespaciado"/>
              <w:tabs>
                <w:tab w:val="left" w:pos="8055"/>
              </w:tabs>
              <w:jc w:val="center"/>
              <w:rPr>
                <w:rFonts w:ascii="Bookman Old Style" w:hAnsi="Bookman Old Style" w:cs="Arial"/>
                <w:b/>
              </w:rPr>
            </w:pPr>
          </w:p>
          <w:p w:rsidR="00D669BB" w:rsidRDefault="00D669BB" w:rsidP="0027730B">
            <w:pPr>
              <w:pStyle w:val="Sinespaciado"/>
              <w:tabs>
                <w:tab w:val="left" w:pos="8055"/>
              </w:tabs>
              <w:jc w:val="center"/>
              <w:rPr>
                <w:rFonts w:ascii="Bookman Old Style" w:hAnsi="Bookman Old Style" w:cs="Arial"/>
                <w:b/>
              </w:rPr>
            </w:pPr>
          </w:p>
          <w:p w:rsidR="00D669BB" w:rsidRPr="00F46028" w:rsidRDefault="00D669BB" w:rsidP="0027730B">
            <w:pPr>
              <w:pStyle w:val="Sinespaciado"/>
              <w:tabs>
                <w:tab w:val="left" w:pos="8055"/>
              </w:tabs>
              <w:jc w:val="center"/>
              <w:rPr>
                <w:rFonts w:ascii="Bookman Old Style" w:hAnsi="Bookman Old Style" w:cs="Arial"/>
                <w:b/>
              </w:rPr>
            </w:pPr>
            <w:r>
              <w:rPr>
                <w:rFonts w:ascii="Bookman Old Style" w:hAnsi="Bookman Old Style" w:cs="Arial"/>
                <w:b/>
              </w:rPr>
              <w:t>DIOGENES QUINTERO AMAYA</w:t>
            </w:r>
          </w:p>
          <w:p w:rsidR="00D669BB" w:rsidRPr="00F46028" w:rsidRDefault="00D669BB" w:rsidP="0027730B">
            <w:pPr>
              <w:pStyle w:val="Sinespaciado"/>
              <w:tabs>
                <w:tab w:val="left" w:pos="8055"/>
              </w:tabs>
              <w:jc w:val="center"/>
              <w:rPr>
                <w:rFonts w:ascii="Bookman Old Style" w:hAnsi="Bookman Old Style" w:cs="Arial"/>
              </w:rPr>
            </w:pPr>
            <w:r w:rsidRPr="00F46028">
              <w:rPr>
                <w:rFonts w:ascii="Bookman Old Style" w:hAnsi="Bookman Old Style" w:cs="Arial"/>
              </w:rPr>
              <w:t>Representante a la Cámara</w:t>
            </w:r>
            <w:r>
              <w:rPr>
                <w:rFonts w:ascii="Bookman Old Style" w:hAnsi="Bookman Old Style" w:cs="Arial"/>
              </w:rPr>
              <w:t>.</w:t>
            </w:r>
          </w:p>
          <w:p w:rsidR="00D669BB" w:rsidRDefault="00D669BB" w:rsidP="0027730B">
            <w:pPr>
              <w:contextualSpacing/>
              <w:jc w:val="center"/>
              <w:rPr>
                <w:rFonts w:ascii="Bookman Old Style" w:hAnsi="Bookman Old Style"/>
                <w:color w:val="000000" w:themeColor="text1"/>
              </w:rPr>
            </w:pPr>
            <w:r w:rsidRPr="00F46028">
              <w:rPr>
                <w:rFonts w:ascii="Bookman Old Style" w:hAnsi="Bookman Old Style" w:cs="Arial"/>
              </w:rPr>
              <w:t>Ponente</w:t>
            </w:r>
            <w:r>
              <w:rPr>
                <w:rFonts w:ascii="Bookman Old Style" w:hAnsi="Bookman Old Style" w:cs="Arial"/>
              </w:rPr>
              <w:t>.</w:t>
            </w:r>
          </w:p>
        </w:tc>
        <w:tc>
          <w:tcPr>
            <w:tcW w:w="4414" w:type="dxa"/>
          </w:tcPr>
          <w:p w:rsidR="00D669BB" w:rsidRDefault="00D669BB" w:rsidP="0027730B">
            <w:pPr>
              <w:pStyle w:val="Sinespaciado"/>
              <w:tabs>
                <w:tab w:val="left" w:pos="8055"/>
              </w:tabs>
              <w:jc w:val="center"/>
              <w:rPr>
                <w:rFonts w:ascii="Bookman Old Style" w:hAnsi="Bookman Old Style" w:cs="Arial"/>
                <w:b/>
              </w:rPr>
            </w:pPr>
          </w:p>
          <w:p w:rsidR="00D669BB" w:rsidRDefault="00D669BB" w:rsidP="0027730B">
            <w:pPr>
              <w:pStyle w:val="Sinespaciado"/>
              <w:tabs>
                <w:tab w:val="left" w:pos="8055"/>
              </w:tabs>
              <w:jc w:val="center"/>
              <w:rPr>
                <w:rFonts w:ascii="Bookman Old Style" w:hAnsi="Bookman Old Style" w:cs="Arial"/>
                <w:b/>
              </w:rPr>
            </w:pPr>
          </w:p>
          <w:p w:rsidR="00D669BB" w:rsidRDefault="00D669BB" w:rsidP="0027730B">
            <w:pPr>
              <w:pStyle w:val="Sinespaciado"/>
              <w:tabs>
                <w:tab w:val="left" w:pos="8055"/>
              </w:tabs>
              <w:jc w:val="center"/>
              <w:rPr>
                <w:rFonts w:ascii="Bookman Old Style" w:hAnsi="Bookman Old Style" w:cs="Arial"/>
                <w:b/>
              </w:rPr>
            </w:pPr>
          </w:p>
          <w:p w:rsidR="00D669BB" w:rsidRDefault="00D669BB" w:rsidP="0027730B">
            <w:pPr>
              <w:pStyle w:val="Sinespaciado"/>
              <w:tabs>
                <w:tab w:val="left" w:pos="8055"/>
              </w:tabs>
              <w:jc w:val="center"/>
              <w:rPr>
                <w:rFonts w:ascii="Bookman Old Style" w:hAnsi="Bookman Old Style" w:cs="Arial"/>
                <w:b/>
              </w:rPr>
            </w:pPr>
          </w:p>
          <w:p w:rsidR="00D669BB" w:rsidRPr="00F46028" w:rsidRDefault="00D669BB" w:rsidP="0027730B">
            <w:pPr>
              <w:pStyle w:val="Sinespaciado"/>
              <w:tabs>
                <w:tab w:val="left" w:pos="8055"/>
              </w:tabs>
              <w:jc w:val="center"/>
              <w:rPr>
                <w:rFonts w:ascii="Bookman Old Style" w:hAnsi="Bookman Old Style" w:cs="Arial"/>
                <w:b/>
              </w:rPr>
            </w:pPr>
            <w:r>
              <w:rPr>
                <w:rFonts w:ascii="Bookman Old Style" w:hAnsi="Bookman Old Style" w:cs="Arial"/>
                <w:b/>
              </w:rPr>
              <w:t>JUAN DANIEL PEÑUELA CALVACHE</w:t>
            </w:r>
          </w:p>
          <w:p w:rsidR="00D669BB" w:rsidRPr="00F46028" w:rsidRDefault="00D669BB" w:rsidP="0027730B">
            <w:pPr>
              <w:pStyle w:val="Sinespaciado"/>
              <w:tabs>
                <w:tab w:val="left" w:pos="8055"/>
              </w:tabs>
              <w:jc w:val="center"/>
              <w:rPr>
                <w:rFonts w:ascii="Bookman Old Style" w:hAnsi="Bookman Old Style" w:cs="Arial"/>
              </w:rPr>
            </w:pPr>
            <w:r w:rsidRPr="00F46028">
              <w:rPr>
                <w:rFonts w:ascii="Bookman Old Style" w:hAnsi="Bookman Old Style" w:cs="Arial"/>
              </w:rPr>
              <w:t>Representante a la Cámara</w:t>
            </w:r>
            <w:r>
              <w:rPr>
                <w:rFonts w:ascii="Bookman Old Style" w:hAnsi="Bookman Old Style" w:cs="Arial"/>
              </w:rPr>
              <w:t>.</w:t>
            </w:r>
          </w:p>
          <w:p w:rsidR="00D669BB" w:rsidRDefault="00D669BB" w:rsidP="0027730B">
            <w:pPr>
              <w:contextualSpacing/>
              <w:jc w:val="center"/>
              <w:rPr>
                <w:rFonts w:ascii="Bookman Old Style" w:hAnsi="Bookman Old Style"/>
                <w:color w:val="000000" w:themeColor="text1"/>
              </w:rPr>
            </w:pPr>
            <w:r w:rsidRPr="00F46028">
              <w:rPr>
                <w:rFonts w:ascii="Bookman Old Style" w:hAnsi="Bookman Old Style" w:cs="Arial"/>
              </w:rPr>
              <w:t>Ponente</w:t>
            </w:r>
            <w:r>
              <w:rPr>
                <w:rFonts w:ascii="Bookman Old Style" w:hAnsi="Bookman Old Style" w:cs="Arial"/>
              </w:rPr>
              <w:t>.</w:t>
            </w:r>
          </w:p>
        </w:tc>
      </w:tr>
      <w:tr w:rsidR="00D669BB" w:rsidTr="00D669BB">
        <w:trPr>
          <w:trHeight w:val="1039"/>
        </w:trPr>
        <w:tc>
          <w:tcPr>
            <w:tcW w:w="4414" w:type="dxa"/>
          </w:tcPr>
          <w:p w:rsidR="005B56B0" w:rsidRDefault="005B56B0" w:rsidP="00D669BB">
            <w:pPr>
              <w:pStyle w:val="Sinespaciado"/>
              <w:tabs>
                <w:tab w:val="left" w:pos="8055"/>
              </w:tabs>
              <w:jc w:val="center"/>
              <w:rPr>
                <w:rFonts w:ascii="Bookman Old Style" w:hAnsi="Bookman Old Style" w:cs="Arial"/>
                <w:b/>
              </w:rPr>
            </w:pPr>
          </w:p>
          <w:p w:rsidR="005B56B0" w:rsidRDefault="005B56B0" w:rsidP="005B56B0">
            <w:pPr>
              <w:pStyle w:val="Sinespaciado"/>
              <w:tabs>
                <w:tab w:val="left" w:pos="8055"/>
              </w:tabs>
              <w:rPr>
                <w:rFonts w:ascii="Bookman Old Style" w:hAnsi="Bookman Old Style" w:cs="Arial"/>
                <w:b/>
              </w:rPr>
            </w:pPr>
          </w:p>
          <w:p w:rsidR="005B56B0" w:rsidRDefault="005B56B0" w:rsidP="00D669BB">
            <w:pPr>
              <w:pStyle w:val="Sinespaciado"/>
              <w:tabs>
                <w:tab w:val="left" w:pos="8055"/>
              </w:tabs>
              <w:jc w:val="center"/>
              <w:rPr>
                <w:rFonts w:ascii="Bookman Old Style" w:hAnsi="Bookman Old Style" w:cs="Arial"/>
                <w:b/>
              </w:rPr>
            </w:pPr>
          </w:p>
          <w:p w:rsidR="00D669BB" w:rsidRDefault="005B56B0" w:rsidP="00D669BB">
            <w:pPr>
              <w:pStyle w:val="Sinespaciado"/>
              <w:tabs>
                <w:tab w:val="left" w:pos="8055"/>
              </w:tabs>
              <w:jc w:val="center"/>
              <w:rPr>
                <w:rFonts w:ascii="Bookman Old Style" w:hAnsi="Bookman Old Style" w:cs="Arial"/>
                <w:b/>
              </w:rPr>
            </w:pPr>
            <w:r>
              <w:rPr>
                <w:rFonts w:ascii="Bookman Old Style" w:hAnsi="Bookman Old Style" w:cs="Arial"/>
                <w:b/>
              </w:rPr>
              <w:t xml:space="preserve">CARLOS ADOLFO ARDILA </w:t>
            </w:r>
          </w:p>
          <w:p w:rsidR="005B56B0" w:rsidRPr="005B56B0" w:rsidRDefault="005B56B0" w:rsidP="00D669BB">
            <w:pPr>
              <w:pStyle w:val="Sinespaciado"/>
              <w:tabs>
                <w:tab w:val="left" w:pos="8055"/>
              </w:tabs>
              <w:jc w:val="center"/>
              <w:rPr>
                <w:rFonts w:ascii="Bookman Old Style" w:hAnsi="Bookman Old Style" w:cs="Arial"/>
              </w:rPr>
            </w:pPr>
            <w:r w:rsidRPr="005B56B0">
              <w:rPr>
                <w:rFonts w:ascii="Bookman Old Style" w:hAnsi="Bookman Old Style" w:cs="Arial"/>
              </w:rPr>
              <w:t>Representante a la Cámara.</w:t>
            </w:r>
          </w:p>
          <w:p w:rsidR="005B56B0" w:rsidRDefault="005B56B0" w:rsidP="00D669BB">
            <w:pPr>
              <w:pStyle w:val="Sinespaciado"/>
              <w:tabs>
                <w:tab w:val="left" w:pos="8055"/>
              </w:tabs>
              <w:jc w:val="center"/>
              <w:rPr>
                <w:rFonts w:ascii="Bookman Old Style" w:hAnsi="Bookman Old Style" w:cs="Arial"/>
                <w:b/>
              </w:rPr>
            </w:pPr>
            <w:r w:rsidRPr="005B56B0">
              <w:rPr>
                <w:rFonts w:ascii="Bookman Old Style" w:hAnsi="Bookman Old Style" w:cs="Arial"/>
              </w:rPr>
              <w:t>Ponente</w:t>
            </w:r>
          </w:p>
        </w:tc>
        <w:tc>
          <w:tcPr>
            <w:tcW w:w="4414" w:type="dxa"/>
          </w:tcPr>
          <w:p w:rsidR="00D669BB" w:rsidRDefault="00D669BB" w:rsidP="0027730B">
            <w:pPr>
              <w:pStyle w:val="Sinespaciado"/>
              <w:tabs>
                <w:tab w:val="left" w:pos="8055"/>
              </w:tabs>
              <w:jc w:val="center"/>
              <w:rPr>
                <w:rFonts w:ascii="Bookman Old Style" w:hAnsi="Bookman Old Style" w:cs="Arial"/>
                <w:b/>
              </w:rPr>
            </w:pPr>
          </w:p>
        </w:tc>
      </w:tr>
    </w:tbl>
    <w:p w:rsidR="00D669BB" w:rsidRPr="006D714A" w:rsidRDefault="00D669BB" w:rsidP="00043C11">
      <w:pPr>
        <w:jc w:val="both"/>
        <w:rPr>
          <w:rFonts w:ascii="Bookman Old Style" w:hAnsi="Bookman Old Style" w:cs="Arial"/>
        </w:rPr>
      </w:pPr>
    </w:p>
    <w:p w:rsidR="00043C11" w:rsidRDefault="00043C11" w:rsidP="007E2A01">
      <w:pPr>
        <w:jc w:val="both"/>
        <w:rPr>
          <w:rFonts w:ascii="Bookman Old Style" w:hAnsi="Bookman Old Style" w:cs="Arial"/>
        </w:rPr>
      </w:pPr>
    </w:p>
    <w:p w:rsidR="007E2A01" w:rsidRDefault="007E2A01" w:rsidP="007E2A01">
      <w:pPr>
        <w:rPr>
          <w:rFonts w:eastAsia="Calibri"/>
        </w:rPr>
      </w:pPr>
    </w:p>
    <w:p w:rsidR="00014699" w:rsidRDefault="00014699" w:rsidP="007E2A01">
      <w:pPr>
        <w:rPr>
          <w:rFonts w:eastAsia="Calibri"/>
        </w:rPr>
      </w:pPr>
    </w:p>
    <w:p w:rsidR="00014699" w:rsidRDefault="00014699" w:rsidP="007E2A01">
      <w:pPr>
        <w:rPr>
          <w:rFonts w:eastAsia="Calibri"/>
        </w:rPr>
      </w:pPr>
    </w:p>
    <w:p w:rsidR="00014699" w:rsidRDefault="00014699" w:rsidP="007E2A01">
      <w:pPr>
        <w:rPr>
          <w:rFonts w:eastAsia="Calibri"/>
        </w:rPr>
      </w:pPr>
    </w:p>
    <w:p w:rsidR="007E2A01" w:rsidRDefault="007E2A01" w:rsidP="007E2A01">
      <w:pPr>
        <w:rPr>
          <w:rFonts w:eastAsia="Calibri"/>
        </w:rPr>
      </w:pPr>
    </w:p>
    <w:p w:rsidR="007E2A01" w:rsidRDefault="007E2A01" w:rsidP="007E2A01">
      <w:pPr>
        <w:rPr>
          <w:rFonts w:eastAsia="Calibri"/>
        </w:rPr>
      </w:pPr>
    </w:p>
    <w:p w:rsidR="007E2A01" w:rsidRPr="007039DA" w:rsidRDefault="007E2A01" w:rsidP="007E2A01">
      <w:pPr>
        <w:rPr>
          <w:rFonts w:eastAsia="Calibri"/>
        </w:rPr>
      </w:pPr>
    </w:p>
    <w:p w:rsidR="007E2A01" w:rsidRPr="001E18FE" w:rsidRDefault="007E2A01" w:rsidP="007E2A01">
      <w:pPr>
        <w:pStyle w:val="Ttulo2"/>
        <w:numPr>
          <w:ilvl w:val="0"/>
          <w:numId w:val="35"/>
        </w:numPr>
        <w:jc w:val="center"/>
        <w:rPr>
          <w:rFonts w:ascii="Bookman Old Style" w:eastAsia="Calibri" w:hAnsi="Bookman Old Style" w:cs="Calibri"/>
          <w:sz w:val="22"/>
          <w:szCs w:val="22"/>
        </w:rPr>
      </w:pPr>
      <w:r w:rsidRPr="001E18FE">
        <w:rPr>
          <w:rFonts w:ascii="Bookman Old Style" w:eastAsia="Calibri" w:hAnsi="Bookman Old Style" w:cs="Calibri"/>
          <w:sz w:val="22"/>
          <w:szCs w:val="22"/>
        </w:rPr>
        <w:t>REFERENCIAS</w:t>
      </w:r>
    </w:p>
    <w:p w:rsidR="007E2A01" w:rsidRPr="00E819E1" w:rsidRDefault="007E2A01" w:rsidP="007E2A01">
      <w:pPr>
        <w:rPr>
          <w:rFonts w:ascii="Bookman Old Style" w:eastAsia="Calibri" w:hAnsi="Bookman Old Style"/>
          <w:sz w:val="20"/>
        </w:rPr>
      </w:pPr>
    </w:p>
    <w:p w:rsidR="007E2A01" w:rsidRPr="005C5218" w:rsidRDefault="007E2A01" w:rsidP="007E2A01">
      <w:pPr>
        <w:pStyle w:val="Textonotapie"/>
        <w:numPr>
          <w:ilvl w:val="0"/>
          <w:numId w:val="33"/>
        </w:numPr>
        <w:jc w:val="both"/>
        <w:rPr>
          <w:rStyle w:val="Hipervnculo"/>
          <w:rFonts w:ascii="Bookman Old Style" w:hAnsi="Bookman Old Style" w:cs="Times New Roman"/>
          <w:i/>
          <w:sz w:val="16"/>
          <w:szCs w:val="16"/>
        </w:rPr>
      </w:pPr>
      <w:r w:rsidRPr="00B61122">
        <w:rPr>
          <w:rFonts w:ascii="Bookman Old Style" w:hAnsi="Bookman Old Style" w:cs="Times New Roman"/>
          <w:i/>
          <w:sz w:val="16"/>
          <w:szCs w:val="16"/>
          <w:lang w:val="en-US"/>
        </w:rPr>
        <w:t xml:space="preserve">Blumenauer, E. 2018. The Path Forward: Rethinking Federal Marijuana Policy. </w:t>
      </w:r>
      <w:r w:rsidRPr="00B61122">
        <w:rPr>
          <w:rFonts w:ascii="Bookman Old Style" w:hAnsi="Bookman Old Style" w:cs="Times New Roman"/>
          <w:i/>
          <w:sz w:val="16"/>
          <w:szCs w:val="16"/>
        </w:rPr>
        <w:t xml:space="preserve">(P.p.10).  Recuperado de: </w:t>
      </w:r>
      <w:r w:rsidRPr="00B61122">
        <w:rPr>
          <w:rStyle w:val="Hipervnculo"/>
          <w:rFonts w:ascii="Bookman Old Style" w:hAnsi="Bookman Old Style" w:cs="Times New Roman"/>
          <w:i/>
          <w:sz w:val="16"/>
          <w:szCs w:val="16"/>
        </w:rPr>
        <w:t>https://blumenauer.house.gov/sites/blumenauer.house.gov/files/BlumenauerReport_ThePathForward.pdf</w:t>
      </w:r>
    </w:p>
    <w:p w:rsidR="007E2A01" w:rsidRPr="005C5218" w:rsidRDefault="007E2A01" w:rsidP="007E2A01">
      <w:pPr>
        <w:pStyle w:val="Textonotapie"/>
        <w:numPr>
          <w:ilvl w:val="0"/>
          <w:numId w:val="33"/>
        </w:numPr>
        <w:jc w:val="both"/>
        <w:rPr>
          <w:rFonts w:ascii="Bookman Old Style" w:hAnsi="Bookman Old Style" w:cs="Times New Roman"/>
          <w:i/>
          <w:sz w:val="16"/>
          <w:szCs w:val="16"/>
          <w:u w:val="single"/>
        </w:rPr>
      </w:pPr>
      <w:r w:rsidRPr="00B61122">
        <w:rPr>
          <w:rFonts w:ascii="Bookman Old Style" w:hAnsi="Bookman Old Style" w:cs="Times New Roman"/>
          <w:i/>
          <w:sz w:val="16"/>
          <w:szCs w:val="16"/>
          <w:u w:val="single"/>
        </w:rPr>
        <w:t>Cesar Augusto Giraldo Giraldo, Medicina Forense, 2009.</w:t>
      </w:r>
    </w:p>
    <w:p w:rsidR="007E2A01" w:rsidRPr="005C5218" w:rsidRDefault="007E2A01" w:rsidP="007E2A01">
      <w:pPr>
        <w:pStyle w:val="Prrafodelista"/>
        <w:numPr>
          <w:ilvl w:val="0"/>
          <w:numId w:val="33"/>
        </w:numPr>
        <w:jc w:val="both"/>
        <w:rPr>
          <w:rFonts w:ascii="Bookman Old Style" w:hAnsi="Bookman Old Style"/>
          <w:i/>
          <w:sz w:val="16"/>
          <w:szCs w:val="16"/>
          <w:u w:val="single"/>
        </w:rPr>
      </w:pPr>
      <w:r w:rsidRPr="00B61122">
        <w:rPr>
          <w:rFonts w:ascii="Bookman Old Style" w:hAnsi="Bookman Old Style"/>
          <w:i/>
          <w:sz w:val="16"/>
          <w:szCs w:val="16"/>
        </w:rPr>
        <w:t xml:space="preserve">Centro de Estudios de Derecho, Justicia y Sociedad, Dejusticia. 2017. Sobredosis Carcelaria y Política de Drogas en América Latina. Documentos Dejusticia 37. Recuperado de: </w:t>
      </w:r>
      <w:r w:rsidRPr="00B61122">
        <w:rPr>
          <w:rStyle w:val="Hipervnculo"/>
          <w:rFonts w:ascii="Bookman Old Style" w:hAnsi="Bookman Old Style" w:cs="Times New Roman"/>
          <w:i/>
          <w:sz w:val="16"/>
          <w:szCs w:val="16"/>
        </w:rPr>
        <w:t>https://www.dejusticia.org/wp-content/uploads/2017/07/Delitos-de-drogas-y-sobredosis-carcelaria-en-Colombia-Version-final-PDF-para-WEB.pdf</w:t>
      </w:r>
    </w:p>
    <w:p w:rsidR="007E2A01" w:rsidRPr="005C5218" w:rsidRDefault="007E2A01" w:rsidP="007E2A01">
      <w:pPr>
        <w:pStyle w:val="Prrafodelista"/>
        <w:numPr>
          <w:ilvl w:val="0"/>
          <w:numId w:val="33"/>
        </w:numPr>
        <w:jc w:val="both"/>
        <w:rPr>
          <w:rStyle w:val="Hipervnculo"/>
          <w:rFonts w:ascii="Bookman Old Style" w:hAnsi="Bookman Old Style"/>
          <w:i/>
          <w:sz w:val="16"/>
          <w:szCs w:val="16"/>
        </w:rPr>
      </w:pPr>
      <w:r w:rsidRPr="00B61122">
        <w:rPr>
          <w:rFonts w:ascii="Bookman Old Style" w:hAnsi="Bookman Old Style"/>
          <w:i/>
          <w:sz w:val="16"/>
          <w:szCs w:val="16"/>
        </w:rPr>
        <w:t xml:space="preserve">Comisión Global de Políticas de Drogas. 2018. Políticas De Drogas Y La Agenda Para El Desarrollo Sostenible. Recuperado de: </w:t>
      </w:r>
      <w:hyperlink r:id="rId17" w:history="1">
        <w:r w:rsidRPr="00B61122">
          <w:rPr>
            <w:rStyle w:val="Hipervnculo"/>
            <w:rFonts w:ascii="Bookman Old Style" w:hAnsi="Bookman Old Style" w:cs="Times New Roman"/>
            <w:i/>
            <w:sz w:val="16"/>
            <w:szCs w:val="16"/>
          </w:rPr>
          <w:t>http://www.globalcommissionondrugs.org/wp-content/uploads/2018/11/SPA-2018_SDGPaper_WEB.pdf</w:t>
        </w:r>
      </w:hyperlink>
    </w:p>
    <w:p w:rsidR="007E2A01" w:rsidRPr="005C5218" w:rsidRDefault="007E2A01" w:rsidP="007E2A01">
      <w:pPr>
        <w:pStyle w:val="Prrafodelista"/>
        <w:numPr>
          <w:ilvl w:val="0"/>
          <w:numId w:val="33"/>
        </w:numPr>
        <w:jc w:val="both"/>
        <w:rPr>
          <w:rFonts w:ascii="Bookman Old Style" w:hAnsi="Bookman Old Style"/>
          <w:i/>
          <w:sz w:val="16"/>
          <w:szCs w:val="16"/>
        </w:rPr>
      </w:pPr>
      <w:r w:rsidRPr="00B61122">
        <w:rPr>
          <w:rStyle w:val="Hipervnculo"/>
          <w:rFonts w:ascii="Bookman Old Style" w:hAnsi="Bookman Old Style"/>
          <w:i/>
          <w:sz w:val="16"/>
          <w:szCs w:val="16"/>
        </w:rPr>
        <w:t>Constitución Política de Colombia</w:t>
      </w:r>
    </w:p>
    <w:p w:rsidR="007E2A01" w:rsidRPr="005C5218" w:rsidRDefault="007E2A01" w:rsidP="007E2A01">
      <w:pPr>
        <w:pStyle w:val="Textonotapie"/>
        <w:numPr>
          <w:ilvl w:val="0"/>
          <w:numId w:val="33"/>
        </w:numPr>
        <w:jc w:val="both"/>
        <w:rPr>
          <w:rFonts w:ascii="Bookman Old Style" w:hAnsi="Bookman Old Style" w:cs="Times New Roman"/>
          <w:i/>
          <w:sz w:val="16"/>
          <w:szCs w:val="16"/>
        </w:rPr>
      </w:pPr>
      <w:r w:rsidRPr="00B61122">
        <w:rPr>
          <w:rFonts w:ascii="Bookman Old Style" w:hAnsi="Bookman Old Style" w:cs="Times New Roman"/>
          <w:i/>
          <w:sz w:val="16"/>
          <w:szCs w:val="16"/>
        </w:rPr>
        <w:t>Corte Constitucional, Sentencia C-221 de 1994. M.P. Carlos Gaviria Díaz.</w:t>
      </w:r>
    </w:p>
    <w:p w:rsidR="007E2A01" w:rsidRPr="005C5218" w:rsidRDefault="007E2A01" w:rsidP="007E2A01">
      <w:pPr>
        <w:pStyle w:val="Textonotapie"/>
        <w:numPr>
          <w:ilvl w:val="0"/>
          <w:numId w:val="33"/>
        </w:numPr>
        <w:jc w:val="both"/>
        <w:rPr>
          <w:rFonts w:ascii="Bookman Old Style" w:hAnsi="Bookman Old Style" w:cs="Times New Roman"/>
          <w:i/>
          <w:sz w:val="16"/>
          <w:szCs w:val="16"/>
        </w:rPr>
      </w:pPr>
      <w:r w:rsidRPr="00B61122">
        <w:rPr>
          <w:rFonts w:ascii="Bookman Old Style" w:hAnsi="Bookman Old Style" w:cs="Times New Roman"/>
          <w:i/>
          <w:sz w:val="16"/>
          <w:szCs w:val="16"/>
        </w:rPr>
        <w:t>Corte Constitucional, Sentencia T-516 de 1998 M.P. Antonio Barrera.</w:t>
      </w:r>
    </w:p>
    <w:p w:rsidR="007E2A01" w:rsidRPr="005C5218" w:rsidRDefault="007E2A01" w:rsidP="007E2A01">
      <w:pPr>
        <w:pStyle w:val="Textonotapie"/>
        <w:numPr>
          <w:ilvl w:val="0"/>
          <w:numId w:val="33"/>
        </w:numPr>
        <w:jc w:val="both"/>
        <w:rPr>
          <w:rFonts w:ascii="Bookman Old Style" w:eastAsia="Calibri" w:hAnsi="Bookman Old Style" w:cs="Times New Roman"/>
          <w:i/>
          <w:sz w:val="16"/>
          <w:szCs w:val="16"/>
          <w:lang w:eastAsia="es-CO"/>
        </w:rPr>
      </w:pPr>
      <w:r w:rsidRPr="00B61122">
        <w:rPr>
          <w:rFonts w:ascii="Bookman Old Style" w:eastAsia="Calibri" w:hAnsi="Bookman Old Style" w:cs="Times New Roman"/>
          <w:i/>
          <w:sz w:val="16"/>
          <w:szCs w:val="16"/>
          <w:lang w:eastAsia="es-CO"/>
        </w:rPr>
        <w:t>Corte Constitucional, sentencia C-420 de 2002, M.P. Jaime Córdoba Triviño.</w:t>
      </w:r>
    </w:p>
    <w:p w:rsidR="007E2A01" w:rsidRPr="005C5218" w:rsidRDefault="007E2A01" w:rsidP="007E2A01">
      <w:pPr>
        <w:pStyle w:val="Textonotapie"/>
        <w:numPr>
          <w:ilvl w:val="0"/>
          <w:numId w:val="33"/>
        </w:numPr>
        <w:jc w:val="both"/>
        <w:rPr>
          <w:rFonts w:ascii="Bookman Old Style" w:hAnsi="Bookman Old Style" w:cs="Times New Roman"/>
          <w:i/>
          <w:sz w:val="16"/>
          <w:szCs w:val="16"/>
        </w:rPr>
      </w:pPr>
      <w:r w:rsidRPr="00B61122">
        <w:rPr>
          <w:rFonts w:ascii="Bookman Old Style" w:hAnsi="Bookman Old Style" w:cs="Times New Roman"/>
          <w:i/>
          <w:sz w:val="16"/>
          <w:szCs w:val="16"/>
        </w:rPr>
        <w:t>Corte Constitucional, Sentencia C-336 de 2008. M.P. Clara Inés Vargas Hernández.</w:t>
      </w:r>
    </w:p>
    <w:p w:rsidR="007E2A01" w:rsidRPr="005C5218" w:rsidRDefault="007E2A01" w:rsidP="007E2A01">
      <w:pPr>
        <w:pStyle w:val="Prrafodelista"/>
        <w:numPr>
          <w:ilvl w:val="0"/>
          <w:numId w:val="33"/>
        </w:numPr>
        <w:jc w:val="both"/>
        <w:rPr>
          <w:rFonts w:ascii="Bookman Old Style" w:eastAsia="Calibri" w:hAnsi="Bookman Old Style"/>
          <w:i/>
          <w:sz w:val="16"/>
          <w:szCs w:val="16"/>
        </w:rPr>
      </w:pPr>
      <w:r w:rsidRPr="00B61122">
        <w:rPr>
          <w:rFonts w:ascii="Bookman Old Style" w:hAnsi="Bookman Old Style"/>
          <w:i/>
          <w:sz w:val="16"/>
          <w:szCs w:val="16"/>
        </w:rPr>
        <w:t>Corte Constitucional,</w:t>
      </w:r>
      <w:r w:rsidRPr="00B61122">
        <w:rPr>
          <w:rFonts w:ascii="Bookman Old Style" w:eastAsia="Calibri" w:hAnsi="Bookman Old Style"/>
          <w:i/>
          <w:sz w:val="16"/>
          <w:szCs w:val="16"/>
          <w:lang w:val="es-ES_tradnl"/>
        </w:rPr>
        <w:t xml:space="preserve"> Sentencia C-574 de 2011. M.P. </w:t>
      </w:r>
      <w:r w:rsidRPr="00B61122">
        <w:rPr>
          <w:rFonts w:ascii="Bookman Old Style" w:eastAsia="Calibri" w:hAnsi="Bookman Old Style"/>
          <w:i/>
          <w:sz w:val="16"/>
          <w:szCs w:val="16"/>
        </w:rPr>
        <w:t>Juan Carlos Henao Pérez.</w:t>
      </w:r>
    </w:p>
    <w:p w:rsidR="007E2A01" w:rsidRPr="005C5218" w:rsidRDefault="007E2A01" w:rsidP="007E2A01">
      <w:pPr>
        <w:pStyle w:val="Prrafodelista"/>
        <w:numPr>
          <w:ilvl w:val="0"/>
          <w:numId w:val="33"/>
        </w:numPr>
        <w:jc w:val="both"/>
        <w:rPr>
          <w:rFonts w:ascii="Bookman Old Style" w:eastAsia="Calibri" w:hAnsi="Bookman Old Style"/>
          <w:i/>
          <w:sz w:val="16"/>
          <w:szCs w:val="16"/>
        </w:rPr>
      </w:pPr>
      <w:r w:rsidRPr="00B61122">
        <w:rPr>
          <w:rFonts w:ascii="Bookman Old Style" w:hAnsi="Bookman Old Style"/>
          <w:i/>
          <w:sz w:val="16"/>
          <w:szCs w:val="16"/>
        </w:rPr>
        <w:t>Corte Constitucional</w:t>
      </w:r>
      <w:r w:rsidRPr="00B61122">
        <w:rPr>
          <w:rFonts w:ascii="Bookman Old Style" w:eastAsia="Calibri" w:hAnsi="Bookman Old Style"/>
          <w:bCs/>
          <w:i/>
          <w:sz w:val="16"/>
          <w:szCs w:val="16"/>
        </w:rPr>
        <w:t>, Sentencia T-388 de 2013</w:t>
      </w:r>
      <w:r w:rsidRPr="00B61122">
        <w:rPr>
          <w:rFonts w:ascii="Bookman Old Style" w:eastAsia="Calibri" w:hAnsi="Bookman Old Style"/>
          <w:i/>
          <w:sz w:val="16"/>
          <w:szCs w:val="16"/>
        </w:rPr>
        <w:t>.M.P. María Victoria Calle Correa.</w:t>
      </w:r>
    </w:p>
    <w:p w:rsidR="007E2A01" w:rsidRPr="005C5218" w:rsidRDefault="007E2A01" w:rsidP="007E2A01">
      <w:pPr>
        <w:pStyle w:val="Prrafodelista"/>
        <w:numPr>
          <w:ilvl w:val="0"/>
          <w:numId w:val="33"/>
        </w:numPr>
        <w:jc w:val="both"/>
        <w:rPr>
          <w:rFonts w:ascii="Bookman Old Style" w:eastAsia="Calibri" w:hAnsi="Bookman Old Style"/>
          <w:i/>
          <w:sz w:val="16"/>
          <w:szCs w:val="16"/>
        </w:rPr>
      </w:pPr>
      <w:r w:rsidRPr="00B61122">
        <w:rPr>
          <w:rFonts w:ascii="Bookman Old Style" w:eastAsia="Calibri" w:hAnsi="Bookman Old Style"/>
          <w:i/>
          <w:sz w:val="16"/>
          <w:szCs w:val="16"/>
        </w:rPr>
        <w:t>Corte Constitucional, Sentencia C-144 de 2015. M.P. Martha Victoria Sáchica Méndez.</w:t>
      </w:r>
    </w:p>
    <w:p w:rsidR="007E2A01" w:rsidRPr="005C5218" w:rsidRDefault="007E2A01" w:rsidP="007E2A01">
      <w:pPr>
        <w:pStyle w:val="Prrafodelista"/>
        <w:numPr>
          <w:ilvl w:val="0"/>
          <w:numId w:val="33"/>
        </w:numPr>
        <w:jc w:val="both"/>
        <w:rPr>
          <w:rFonts w:ascii="Bookman Old Style" w:hAnsi="Bookman Old Style"/>
          <w:i/>
          <w:sz w:val="16"/>
          <w:szCs w:val="16"/>
        </w:rPr>
      </w:pPr>
      <w:r w:rsidRPr="00B61122">
        <w:rPr>
          <w:rFonts w:ascii="Bookman Old Style" w:hAnsi="Bookman Old Style"/>
          <w:i/>
          <w:sz w:val="16"/>
          <w:szCs w:val="16"/>
        </w:rPr>
        <w:t>Corte Constitucional, Sentencia C-104 de 2016, M.P. Luis Guillermo Guerrero Pérez.</w:t>
      </w:r>
    </w:p>
    <w:p w:rsidR="007E2A01" w:rsidRPr="005C5218" w:rsidRDefault="007E2A01" w:rsidP="007E2A01">
      <w:pPr>
        <w:pStyle w:val="Prrafodelista"/>
        <w:numPr>
          <w:ilvl w:val="0"/>
          <w:numId w:val="33"/>
        </w:numPr>
        <w:jc w:val="both"/>
        <w:rPr>
          <w:rFonts w:ascii="Bookman Old Style" w:hAnsi="Bookman Old Style"/>
          <w:i/>
          <w:sz w:val="16"/>
          <w:szCs w:val="16"/>
        </w:rPr>
      </w:pPr>
      <w:r w:rsidRPr="00B61122">
        <w:rPr>
          <w:rFonts w:ascii="Bookman Old Style" w:hAnsi="Bookman Old Style"/>
          <w:i/>
          <w:sz w:val="16"/>
          <w:szCs w:val="16"/>
        </w:rPr>
        <w:t>Corte Constitucional, sentencia C-220 de 2017. M.P. José Antonio Cepeda Amarís (E).</w:t>
      </w:r>
    </w:p>
    <w:p w:rsidR="007E2A01" w:rsidRPr="005C5218" w:rsidRDefault="007E2A01" w:rsidP="007E2A01">
      <w:pPr>
        <w:pStyle w:val="Prrafodelista"/>
        <w:numPr>
          <w:ilvl w:val="0"/>
          <w:numId w:val="33"/>
        </w:numPr>
        <w:jc w:val="both"/>
        <w:rPr>
          <w:rFonts w:ascii="Bookman Old Style" w:eastAsia="Calibri" w:hAnsi="Bookman Old Style"/>
          <w:i/>
          <w:sz w:val="16"/>
          <w:szCs w:val="16"/>
        </w:rPr>
      </w:pPr>
      <w:r w:rsidRPr="00B61122">
        <w:rPr>
          <w:rFonts w:ascii="Bookman Old Style" w:eastAsia="Calibri" w:hAnsi="Bookman Old Style"/>
          <w:i/>
          <w:sz w:val="16"/>
          <w:szCs w:val="16"/>
        </w:rPr>
        <w:t>Corte Constitucional, Sentencia T-171 de 2018. M.P.</w:t>
      </w:r>
      <w:r w:rsidRPr="00B61122">
        <w:rPr>
          <w:rFonts w:ascii="Bookman Old Style" w:hAnsi="Bookman Old Style"/>
          <w:i/>
          <w:sz w:val="16"/>
          <w:szCs w:val="16"/>
          <w:shd w:val="clear" w:color="auto" w:fill="FFFFFF"/>
        </w:rPr>
        <w:t xml:space="preserve"> </w:t>
      </w:r>
      <w:r w:rsidRPr="00B61122">
        <w:rPr>
          <w:rFonts w:ascii="Bookman Old Style" w:eastAsia="Calibri" w:hAnsi="Bookman Old Style"/>
          <w:i/>
          <w:sz w:val="16"/>
          <w:szCs w:val="16"/>
        </w:rPr>
        <w:t>Cristina Pardo Schlesinger.</w:t>
      </w:r>
    </w:p>
    <w:p w:rsidR="007E2A01" w:rsidRPr="005C5218" w:rsidRDefault="007E2A01" w:rsidP="007E2A01">
      <w:pPr>
        <w:pStyle w:val="Prrafodelista"/>
        <w:numPr>
          <w:ilvl w:val="0"/>
          <w:numId w:val="33"/>
        </w:numPr>
        <w:jc w:val="both"/>
        <w:rPr>
          <w:rFonts w:ascii="Bookman Old Style" w:eastAsia="Calibri" w:hAnsi="Bookman Old Style"/>
          <w:i/>
          <w:sz w:val="16"/>
          <w:szCs w:val="16"/>
        </w:rPr>
      </w:pPr>
      <w:r w:rsidRPr="00B61122">
        <w:rPr>
          <w:rFonts w:ascii="Bookman Old Style" w:eastAsia="Calibri" w:hAnsi="Bookman Old Style"/>
          <w:i/>
          <w:sz w:val="16"/>
          <w:szCs w:val="16"/>
        </w:rPr>
        <w:t>Corte Constitucional, Sentencia T-452 de 2018 M.P. José Fernando Reyes Cuartas.</w:t>
      </w:r>
    </w:p>
    <w:p w:rsidR="007E2A01" w:rsidRPr="005C5218" w:rsidRDefault="007E2A01" w:rsidP="007E2A01">
      <w:pPr>
        <w:pStyle w:val="Prrafodelista"/>
        <w:numPr>
          <w:ilvl w:val="0"/>
          <w:numId w:val="33"/>
        </w:numPr>
        <w:jc w:val="both"/>
        <w:rPr>
          <w:rFonts w:ascii="Bookman Old Style" w:hAnsi="Bookman Old Style"/>
          <w:i/>
          <w:sz w:val="16"/>
          <w:szCs w:val="16"/>
        </w:rPr>
      </w:pPr>
      <w:r w:rsidRPr="00B61122">
        <w:rPr>
          <w:rFonts w:ascii="Bookman Old Style" w:hAnsi="Bookman Old Style"/>
          <w:i/>
          <w:sz w:val="16"/>
          <w:szCs w:val="16"/>
        </w:rPr>
        <w:t>Corte Constitucional, Comunicado de Prensa del 6 de junio de 2019.</w:t>
      </w:r>
    </w:p>
    <w:p w:rsidR="007E2A01" w:rsidRPr="005C5218" w:rsidRDefault="007E2A01" w:rsidP="007E2A01">
      <w:pPr>
        <w:pStyle w:val="Prrafodelista"/>
        <w:numPr>
          <w:ilvl w:val="0"/>
          <w:numId w:val="33"/>
        </w:numPr>
        <w:jc w:val="both"/>
        <w:rPr>
          <w:rFonts w:ascii="Bookman Old Style" w:hAnsi="Bookman Old Style"/>
          <w:i/>
          <w:sz w:val="16"/>
          <w:szCs w:val="16"/>
        </w:rPr>
      </w:pPr>
      <w:r w:rsidRPr="00B61122">
        <w:rPr>
          <w:rFonts w:ascii="Bookman Old Style" w:hAnsi="Bookman Old Style"/>
          <w:i/>
          <w:sz w:val="16"/>
          <w:szCs w:val="16"/>
        </w:rPr>
        <w:t>British Broadcasting Corporation BBC, Cuáles son las sustancias más adictivas del mundo y qué le hacen a nuestro cerebro, recuperado de https://www.bbc.com/mundo/noticias-46877409</w:t>
      </w:r>
    </w:p>
    <w:p w:rsidR="007E2A01" w:rsidRPr="005C5218" w:rsidRDefault="007E2A01" w:rsidP="007E2A01">
      <w:pPr>
        <w:pStyle w:val="Prrafodelista"/>
        <w:numPr>
          <w:ilvl w:val="0"/>
          <w:numId w:val="33"/>
        </w:numPr>
        <w:jc w:val="both"/>
        <w:rPr>
          <w:rStyle w:val="Hipervnculo"/>
          <w:rFonts w:ascii="Bookman Old Style" w:hAnsi="Bookman Old Style" w:cs="Times New Roman"/>
          <w:i/>
          <w:sz w:val="16"/>
          <w:szCs w:val="16"/>
        </w:rPr>
      </w:pPr>
      <w:r w:rsidRPr="00B61122">
        <w:rPr>
          <w:rFonts w:ascii="Bookman Old Style" w:hAnsi="Bookman Old Style"/>
          <w:i/>
          <w:sz w:val="16"/>
          <w:szCs w:val="16"/>
        </w:rPr>
        <w:t xml:space="preserve">DANE. Estimaciones De Población 1985-2005 Y Proyecciones De Población 2005-2020 Nacional y Departamental Desagregado por Área, Sexo Y Grupos Quinquenales De Edad. Recuperado de: </w:t>
      </w:r>
      <w:hyperlink r:id="rId18" w:anchor="cuantos00" w:history="1">
        <w:r w:rsidRPr="00B61122">
          <w:rPr>
            <w:rStyle w:val="Hipervnculo"/>
            <w:rFonts w:ascii="Bookman Old Style" w:hAnsi="Bookman Old Style" w:cs="Times New Roman"/>
            <w:i/>
            <w:sz w:val="16"/>
            <w:szCs w:val="16"/>
          </w:rPr>
          <w:t>https://sitios.dane.gov.co/cnpv-presentacion/src/#cuantos00</w:t>
        </w:r>
      </w:hyperlink>
    </w:p>
    <w:p w:rsidR="007E2A01" w:rsidRPr="005C5218" w:rsidRDefault="007E2A01" w:rsidP="007E2A01">
      <w:pPr>
        <w:pStyle w:val="Prrafodelista"/>
        <w:numPr>
          <w:ilvl w:val="0"/>
          <w:numId w:val="33"/>
        </w:numPr>
        <w:jc w:val="both"/>
        <w:rPr>
          <w:rFonts w:ascii="Bookman Old Style" w:hAnsi="Bookman Old Style"/>
          <w:i/>
          <w:sz w:val="16"/>
          <w:szCs w:val="16"/>
        </w:rPr>
      </w:pPr>
      <w:r w:rsidRPr="00B61122">
        <w:rPr>
          <w:rFonts w:ascii="Bookman Old Style" w:hAnsi="Bookman Old Style"/>
          <w:i/>
          <w:sz w:val="16"/>
          <w:szCs w:val="16"/>
        </w:rPr>
        <w:t>Dejusticia, “Comentarios borrador de decreto por medio del cual se adiciona el capítulo 9 del título 8 de la parte 2 del libro 2 del Decreto 1070 de 2015, "Decreto Único Reglamentario del Sector Administrativo de Defensa", para reglamentar parcialmente el Código Nacional de Policía y Convivencia, en lo referente a la prohibición de poseer, tener, entregar, distribuir o comercializar drogas o sustancias prohibidas” 2018.</w:t>
      </w:r>
    </w:p>
    <w:p w:rsidR="007E2A01" w:rsidRPr="005C5218" w:rsidRDefault="007E2A01" w:rsidP="007E2A01">
      <w:pPr>
        <w:pStyle w:val="Textonotapie"/>
        <w:numPr>
          <w:ilvl w:val="0"/>
          <w:numId w:val="33"/>
        </w:numPr>
        <w:jc w:val="both"/>
        <w:rPr>
          <w:rFonts w:ascii="Bookman Old Style" w:hAnsi="Bookman Old Style" w:cs="Times New Roman"/>
          <w:i/>
          <w:sz w:val="16"/>
          <w:szCs w:val="16"/>
          <w:lang w:val="en-US"/>
        </w:rPr>
      </w:pPr>
      <w:r w:rsidRPr="00B61122">
        <w:rPr>
          <w:rFonts w:ascii="Bookman Old Style" w:hAnsi="Bookman Old Style" w:cs="Times New Roman"/>
          <w:i/>
          <w:sz w:val="16"/>
          <w:szCs w:val="16"/>
          <w:lang w:val="en-US"/>
        </w:rPr>
        <w:t xml:space="preserve">Drug Policy Alliance. 2018. From Prohibition to Progress: A Status Report on Marijuana Legalization. What We Know About Marijuana Legalization in Eight States and Washington, D.C. Recuperado de: </w:t>
      </w:r>
      <w:hyperlink r:id="rId19" w:history="1">
        <w:r w:rsidRPr="00B61122">
          <w:rPr>
            <w:rStyle w:val="Hipervnculo"/>
            <w:rFonts w:ascii="Bookman Old Style" w:hAnsi="Bookman Old Style" w:cs="Times New Roman"/>
            <w:i/>
            <w:sz w:val="16"/>
            <w:szCs w:val="16"/>
            <w:lang w:val="en-US"/>
          </w:rPr>
          <w:t>http://fileserver.idpc.net/library/dpa_marijuana_legalization_report_v8_0.pdf</w:t>
        </w:r>
      </w:hyperlink>
      <w:r w:rsidRPr="00B61122">
        <w:rPr>
          <w:rFonts w:ascii="Bookman Old Style" w:hAnsi="Bookman Old Style" w:cs="Times New Roman"/>
          <w:i/>
          <w:sz w:val="16"/>
          <w:szCs w:val="16"/>
          <w:lang w:val="en-US"/>
        </w:rPr>
        <w:t xml:space="preserve">    </w:t>
      </w:r>
    </w:p>
    <w:p w:rsidR="007E2A01" w:rsidRPr="005C5218" w:rsidRDefault="007E2A01" w:rsidP="007E2A01">
      <w:pPr>
        <w:pStyle w:val="Textonotapie"/>
        <w:numPr>
          <w:ilvl w:val="0"/>
          <w:numId w:val="33"/>
        </w:numPr>
        <w:jc w:val="both"/>
        <w:rPr>
          <w:rFonts w:ascii="Bookman Old Style" w:hAnsi="Bookman Old Style" w:cs="Times New Roman"/>
          <w:i/>
          <w:sz w:val="16"/>
          <w:szCs w:val="16"/>
        </w:rPr>
      </w:pPr>
      <w:r w:rsidRPr="00B61122">
        <w:rPr>
          <w:rFonts w:ascii="Bookman Old Style" w:hAnsi="Bookman Old Style" w:cs="Times New Roman"/>
          <w:i/>
          <w:sz w:val="16"/>
          <w:szCs w:val="16"/>
        </w:rPr>
        <w:t>El Observador. 2018. El jueves aumenta el precio de la marihuana a $200. Recuperado de: https://www.elobservador.com.uy/nota/el-jueves-aumenta-el-precio-de-la-marihuana-a-200--201813019260.</w:t>
      </w:r>
    </w:p>
    <w:p w:rsidR="007E2A01" w:rsidRPr="005C5218" w:rsidRDefault="007E2A01" w:rsidP="007E2A01">
      <w:pPr>
        <w:pStyle w:val="Prrafodelista"/>
        <w:numPr>
          <w:ilvl w:val="0"/>
          <w:numId w:val="33"/>
        </w:numPr>
        <w:jc w:val="both"/>
        <w:rPr>
          <w:rFonts w:ascii="Bookman Old Style" w:hAnsi="Bookman Old Style"/>
          <w:i/>
          <w:sz w:val="16"/>
          <w:szCs w:val="16"/>
        </w:rPr>
      </w:pPr>
      <w:r w:rsidRPr="00B61122">
        <w:rPr>
          <w:rFonts w:ascii="Bookman Old Style" w:hAnsi="Bookman Old Style"/>
          <w:i/>
          <w:sz w:val="16"/>
          <w:szCs w:val="16"/>
          <w:lang w:val="en-US"/>
        </w:rPr>
        <w:t xml:space="preserve">German Lopez. </w:t>
      </w:r>
      <w:hyperlink r:id="rId20" w:tgtFrame="_blank" w:history="1">
        <w:r w:rsidRPr="00B61122">
          <w:rPr>
            <w:rFonts w:ascii="Bookman Old Style" w:hAnsi="Bookman Old Style"/>
            <w:i/>
            <w:sz w:val="16"/>
            <w:szCs w:val="16"/>
            <w:lang w:val="en-US"/>
          </w:rPr>
          <w:t xml:space="preserve">The three deathliest drugs in America. </w:t>
        </w:r>
        <w:r w:rsidRPr="00B61122">
          <w:rPr>
            <w:rFonts w:ascii="Bookman Old Style" w:hAnsi="Bookman Old Style"/>
            <w:i/>
            <w:sz w:val="16"/>
            <w:szCs w:val="16"/>
          </w:rPr>
          <w:t>Vox 2017</w:t>
        </w:r>
      </w:hyperlink>
      <w:r w:rsidRPr="00B61122">
        <w:rPr>
          <w:rFonts w:ascii="Bookman Old Style" w:hAnsi="Bookman Old Style"/>
          <w:i/>
          <w:sz w:val="16"/>
          <w:szCs w:val="16"/>
        </w:rPr>
        <w:t>.</w:t>
      </w:r>
    </w:p>
    <w:p w:rsidR="007E2A01" w:rsidRPr="005C5218" w:rsidRDefault="007E2A01" w:rsidP="007E2A01">
      <w:pPr>
        <w:pStyle w:val="Prrafodelista"/>
        <w:numPr>
          <w:ilvl w:val="0"/>
          <w:numId w:val="33"/>
        </w:numPr>
        <w:jc w:val="both"/>
        <w:rPr>
          <w:rFonts w:ascii="Bookman Old Style" w:hAnsi="Bookman Old Style"/>
          <w:i/>
          <w:sz w:val="16"/>
          <w:szCs w:val="16"/>
        </w:rPr>
      </w:pPr>
      <w:r w:rsidRPr="00B61122">
        <w:rPr>
          <w:rFonts w:ascii="Bookman Old Style" w:hAnsi="Bookman Old Style"/>
          <w:i/>
          <w:iCs/>
          <w:sz w:val="16"/>
          <w:szCs w:val="16"/>
        </w:rPr>
        <w:t>International Drug Policy Consortium, 2019. La OMS cambia su posición con respecto a la marihuana, recuperado de: https://idpc.net/es/alerts/2019/02/la-OMS-cambia-su-posicion#.XTS1wX3xB0k.whatsapp.</w:t>
      </w:r>
    </w:p>
    <w:p w:rsidR="007E2A01" w:rsidRPr="005C5218" w:rsidRDefault="007E2A01" w:rsidP="007E2A01">
      <w:pPr>
        <w:pStyle w:val="Prrafodelista"/>
        <w:numPr>
          <w:ilvl w:val="0"/>
          <w:numId w:val="33"/>
        </w:numPr>
        <w:jc w:val="both"/>
        <w:rPr>
          <w:rFonts w:ascii="Bookman Old Style" w:hAnsi="Bookman Old Style"/>
          <w:i/>
          <w:sz w:val="16"/>
          <w:szCs w:val="16"/>
        </w:rPr>
      </w:pPr>
      <w:r w:rsidRPr="00B61122">
        <w:rPr>
          <w:rFonts w:ascii="Bookman Old Style" w:hAnsi="Bookman Old Style"/>
          <w:i/>
          <w:sz w:val="16"/>
          <w:szCs w:val="16"/>
          <w:lang w:val="en-US"/>
        </w:rPr>
        <w:t xml:space="preserve">Leslie King and Lawrence Phillips. “Drug harms in the UK: a multicriteria decision analysis”. </w:t>
      </w:r>
      <w:r w:rsidRPr="00B61122">
        <w:rPr>
          <w:rFonts w:ascii="Bookman Old Style" w:hAnsi="Bookman Old Style"/>
          <w:i/>
          <w:sz w:val="16"/>
          <w:szCs w:val="16"/>
        </w:rPr>
        <w:t>David Nutt. The Lancet, 2010.</w:t>
      </w:r>
    </w:p>
    <w:p w:rsidR="007E2A01" w:rsidRPr="005C5218" w:rsidRDefault="007E2A01" w:rsidP="007E2A01">
      <w:pPr>
        <w:pStyle w:val="Prrafodelista"/>
        <w:numPr>
          <w:ilvl w:val="0"/>
          <w:numId w:val="33"/>
        </w:numPr>
        <w:jc w:val="both"/>
        <w:rPr>
          <w:rFonts w:ascii="Bookman Old Style" w:eastAsia="Calibri" w:hAnsi="Bookman Old Style"/>
          <w:i/>
          <w:sz w:val="16"/>
          <w:szCs w:val="16"/>
        </w:rPr>
      </w:pPr>
      <w:r w:rsidRPr="00B61122">
        <w:rPr>
          <w:rFonts w:ascii="Bookman Old Style" w:eastAsia="Calibri" w:hAnsi="Bookman Old Style"/>
          <w:i/>
          <w:sz w:val="16"/>
          <w:szCs w:val="16"/>
        </w:rPr>
        <w:t>Medina-Mora, Real, Villatoro, &amp; Natera, “Las drogas y la salud pública: ¿hacia dónde vamos?”, 2013; página 68</w:t>
      </w:r>
    </w:p>
    <w:p w:rsidR="007E2A01" w:rsidRPr="00B61122" w:rsidRDefault="007E2A01" w:rsidP="007E2A01">
      <w:pPr>
        <w:pStyle w:val="Prrafodelista"/>
        <w:numPr>
          <w:ilvl w:val="0"/>
          <w:numId w:val="33"/>
        </w:numPr>
        <w:jc w:val="both"/>
        <w:rPr>
          <w:rFonts w:ascii="Bookman Old Style" w:eastAsia="Calibri" w:hAnsi="Bookman Old Style"/>
          <w:i/>
          <w:sz w:val="16"/>
          <w:szCs w:val="16"/>
        </w:rPr>
      </w:pPr>
      <w:r w:rsidRPr="00B61122">
        <w:rPr>
          <w:rFonts w:ascii="Bookman Old Style" w:eastAsia="Calibri" w:hAnsi="Bookman Old Style"/>
          <w:i/>
          <w:sz w:val="16"/>
          <w:szCs w:val="16"/>
        </w:rPr>
        <w:t>Ministerio de Salud, Dirección de Promoción y prevención,”El consumo de SPA en colombia” 2015.</w:t>
      </w:r>
    </w:p>
    <w:p w:rsidR="007E2A01" w:rsidRPr="005C5218" w:rsidRDefault="007E2A01" w:rsidP="007E2A01">
      <w:pPr>
        <w:pStyle w:val="Textonotapie"/>
        <w:numPr>
          <w:ilvl w:val="0"/>
          <w:numId w:val="33"/>
        </w:numPr>
        <w:jc w:val="both"/>
        <w:rPr>
          <w:rFonts w:ascii="Bookman Old Style" w:hAnsi="Bookman Old Style" w:cs="Times New Roman"/>
          <w:i/>
          <w:sz w:val="16"/>
          <w:szCs w:val="16"/>
        </w:rPr>
      </w:pPr>
      <w:r w:rsidRPr="00B61122">
        <w:rPr>
          <w:rFonts w:ascii="Bookman Old Style" w:hAnsi="Bookman Old Style" w:cs="Times New Roman"/>
          <w:i/>
          <w:sz w:val="16"/>
          <w:szCs w:val="16"/>
          <w:lang w:val="en-US"/>
        </w:rPr>
        <w:t xml:space="preserve">Moody´s. 2018. Recreational Marijuana Tax Revenues are Marginal Credit Positives. </w:t>
      </w:r>
      <w:r w:rsidRPr="00B61122">
        <w:rPr>
          <w:rFonts w:ascii="Bookman Old Style" w:hAnsi="Bookman Old Style" w:cs="Times New Roman"/>
          <w:i/>
          <w:sz w:val="16"/>
          <w:szCs w:val="16"/>
        </w:rPr>
        <w:t xml:space="preserve">Recuperado de: </w:t>
      </w:r>
      <w:r w:rsidRPr="00B61122">
        <w:rPr>
          <w:rStyle w:val="Hipervnculo"/>
          <w:rFonts w:ascii="Bookman Old Style" w:hAnsi="Bookman Old Style" w:cs="Times New Roman"/>
          <w:i/>
          <w:sz w:val="16"/>
          <w:szCs w:val="16"/>
        </w:rPr>
        <w:t>https://www.capitaliq.com/CIQDotNet/CreditResearch/RenderArticle.aspx?articleId=2170361&amp;SctArtId</w:t>
      </w:r>
      <w:r w:rsidRPr="00B61122">
        <w:rPr>
          <w:rStyle w:val="Hipervnculo"/>
          <w:rFonts w:ascii="Bookman Old Style" w:hAnsi="Bookman Old Style" w:cs="Times New Roman"/>
          <w:i/>
          <w:sz w:val="16"/>
          <w:szCs w:val="16"/>
        </w:rPr>
        <w:lastRenderedPageBreak/>
        <w:t>=467339&amp;from=CM&amp;nsl_code=LIME&amp;sourceObjectId=10882078&amp;sourceRevId=3&amp;fee_ind=N&amp;exp_date=20290221-02:28:22</w:t>
      </w:r>
      <w:r w:rsidRPr="00B61122">
        <w:rPr>
          <w:rFonts w:ascii="Bookman Old Style" w:hAnsi="Bookman Old Style" w:cs="Times New Roman"/>
          <w:i/>
          <w:sz w:val="16"/>
          <w:szCs w:val="16"/>
        </w:rPr>
        <w:t xml:space="preserve"> </w:t>
      </w:r>
    </w:p>
    <w:p w:rsidR="007E2A01" w:rsidRPr="005C5218" w:rsidRDefault="007E2A01" w:rsidP="007E2A01">
      <w:pPr>
        <w:pStyle w:val="Prrafodelista"/>
        <w:numPr>
          <w:ilvl w:val="0"/>
          <w:numId w:val="33"/>
        </w:numPr>
        <w:jc w:val="both"/>
        <w:rPr>
          <w:rFonts w:ascii="Bookman Old Style" w:eastAsia="Calibri" w:hAnsi="Bookman Old Style"/>
          <w:i/>
          <w:sz w:val="16"/>
          <w:szCs w:val="16"/>
          <w:lang w:val="en-US"/>
        </w:rPr>
      </w:pPr>
      <w:r w:rsidRPr="00B61122">
        <w:rPr>
          <w:rFonts w:ascii="Bookman Old Style" w:eastAsia="Calibri" w:hAnsi="Bookman Old Style"/>
          <w:i/>
          <w:sz w:val="16"/>
          <w:szCs w:val="16"/>
          <w:lang w:val="en-US"/>
        </w:rPr>
        <w:t>P. Westen. Speaking of equality. An Analisis of the Rhetorical forcé of Equality” in moral and legal discoruse, Princenton University Press, 1990, cap.v.</w:t>
      </w:r>
    </w:p>
    <w:p w:rsidR="007E2A01" w:rsidRPr="005C5218" w:rsidRDefault="007E2A01" w:rsidP="007E2A01">
      <w:pPr>
        <w:pStyle w:val="Prrafodelista"/>
        <w:numPr>
          <w:ilvl w:val="0"/>
          <w:numId w:val="33"/>
        </w:numPr>
        <w:jc w:val="both"/>
        <w:rPr>
          <w:rFonts w:ascii="Bookman Old Style" w:hAnsi="Bookman Old Style"/>
          <w:i/>
          <w:sz w:val="16"/>
          <w:szCs w:val="16"/>
        </w:rPr>
      </w:pPr>
      <w:r w:rsidRPr="00B61122">
        <w:rPr>
          <w:rFonts w:ascii="Bookman Old Style" w:hAnsi="Bookman Old Style"/>
          <w:i/>
          <w:iCs/>
          <w:sz w:val="16"/>
          <w:szCs w:val="16"/>
        </w:rPr>
        <w:t>Roberto Serpa Flórez, Psiquiatría médica y jurídica, 2007.</w:t>
      </w:r>
    </w:p>
    <w:p w:rsidR="007E2A01" w:rsidRPr="005C5218" w:rsidRDefault="007E2A01" w:rsidP="007E2A01">
      <w:pPr>
        <w:pStyle w:val="Prrafodelista"/>
        <w:numPr>
          <w:ilvl w:val="0"/>
          <w:numId w:val="33"/>
        </w:numPr>
        <w:jc w:val="both"/>
        <w:rPr>
          <w:rFonts w:ascii="Bookman Old Style" w:hAnsi="Bookman Old Style"/>
          <w:i/>
          <w:sz w:val="16"/>
          <w:szCs w:val="16"/>
        </w:rPr>
      </w:pPr>
      <w:r w:rsidRPr="00B61122">
        <w:rPr>
          <w:rFonts w:ascii="Bookman Old Style" w:hAnsi="Bookman Old Style"/>
          <w:i/>
          <w:sz w:val="16"/>
          <w:szCs w:val="16"/>
        </w:rPr>
        <w:t>Roberto Solórzano Niño, Medicina Lega, criminalística y toxicología para abogados, 1996.</w:t>
      </w:r>
    </w:p>
    <w:p w:rsidR="007E2A01" w:rsidRPr="005C5218" w:rsidRDefault="007E2A01" w:rsidP="007E2A01">
      <w:pPr>
        <w:pStyle w:val="Prrafodelista"/>
        <w:numPr>
          <w:ilvl w:val="0"/>
          <w:numId w:val="33"/>
        </w:numPr>
        <w:jc w:val="both"/>
        <w:rPr>
          <w:rFonts w:ascii="Bookman Old Style" w:hAnsi="Bookman Old Style"/>
          <w:i/>
          <w:sz w:val="16"/>
          <w:szCs w:val="16"/>
        </w:rPr>
      </w:pPr>
      <w:r w:rsidRPr="00B61122">
        <w:rPr>
          <w:rFonts w:ascii="Bookman Old Style" w:hAnsi="Bookman Old Style"/>
          <w:i/>
          <w:sz w:val="16"/>
          <w:szCs w:val="16"/>
        </w:rPr>
        <w:t>Rodrigo Uprimny, “Una oportunidad perdida”, Dejusticia. 2019</w:t>
      </w:r>
    </w:p>
    <w:p w:rsidR="007E2A01" w:rsidRPr="005C5218" w:rsidRDefault="007E2A01" w:rsidP="007E2A01">
      <w:pPr>
        <w:pStyle w:val="Prrafodelista"/>
        <w:numPr>
          <w:ilvl w:val="0"/>
          <w:numId w:val="33"/>
        </w:numPr>
        <w:jc w:val="both"/>
        <w:rPr>
          <w:rFonts w:ascii="Bookman Old Style" w:hAnsi="Bookman Old Style"/>
          <w:i/>
          <w:sz w:val="16"/>
          <w:szCs w:val="16"/>
        </w:rPr>
      </w:pPr>
      <w:r w:rsidRPr="00B61122">
        <w:rPr>
          <w:rFonts w:ascii="Bookman Old Style" w:hAnsi="Bookman Old Style"/>
          <w:i/>
          <w:sz w:val="16"/>
          <w:szCs w:val="16"/>
        </w:rPr>
        <w:t>UNODC, Estudio Nacional de Consumo de Sustancias Psicoactivas en Colombia 2013 – Informe Final, 2013, recuperado de: https://www.unodc.org/documents/colombia/2014/Julio/Estudio_de_Consumo_UNODC.pdf</w:t>
      </w:r>
    </w:p>
    <w:p w:rsidR="007E2A01" w:rsidRPr="005C5218" w:rsidRDefault="007E2A01" w:rsidP="007E2A01">
      <w:pPr>
        <w:pStyle w:val="Prrafodelista"/>
        <w:numPr>
          <w:ilvl w:val="0"/>
          <w:numId w:val="33"/>
        </w:numPr>
        <w:jc w:val="both"/>
        <w:rPr>
          <w:rFonts w:ascii="Bookman Old Style" w:hAnsi="Bookman Old Style"/>
          <w:i/>
          <w:sz w:val="16"/>
          <w:szCs w:val="16"/>
        </w:rPr>
      </w:pPr>
      <w:r w:rsidRPr="00B61122">
        <w:rPr>
          <w:rFonts w:ascii="Bookman Old Style" w:hAnsi="Bookman Old Style"/>
          <w:i/>
          <w:sz w:val="16"/>
          <w:szCs w:val="16"/>
          <w:lang w:val="en-US"/>
        </w:rPr>
        <w:t xml:space="preserve">Washington Post.  2016. Justin Trudeau may have made the best case for legal pot ever. </w:t>
      </w:r>
      <w:r w:rsidRPr="00B61122">
        <w:rPr>
          <w:rFonts w:ascii="Bookman Old Style" w:hAnsi="Bookman Old Style"/>
          <w:i/>
          <w:sz w:val="16"/>
          <w:szCs w:val="16"/>
        </w:rPr>
        <w:t>Recuperado de: https://www.washingtonpost.com/news/wonk/wp/2016/06/10/why-people-who-hate-marijuana-should-legalize-it-anyway-according-to-justin-trudeau/?noredirect=on&amp;utm_term=.75678dd510b9</w:t>
      </w:r>
    </w:p>
    <w:p w:rsidR="007E2A01" w:rsidRPr="007039DA" w:rsidRDefault="007E2A01" w:rsidP="007E2A01">
      <w:pPr>
        <w:pStyle w:val="Prrafodelista"/>
        <w:numPr>
          <w:ilvl w:val="0"/>
          <w:numId w:val="33"/>
        </w:numPr>
        <w:jc w:val="both"/>
        <w:rPr>
          <w:rFonts w:ascii="Bookman Old Style" w:hAnsi="Bookman Old Style"/>
          <w:i/>
          <w:sz w:val="16"/>
          <w:szCs w:val="16"/>
          <w:u w:val="single"/>
        </w:rPr>
        <w:sectPr w:rsidR="007E2A01" w:rsidRPr="007039DA" w:rsidSect="007E2A01">
          <w:headerReference w:type="default" r:id="rId21"/>
          <w:footerReference w:type="default" r:id="rId22"/>
          <w:pgSz w:w="12240" w:h="15840" w:code="1"/>
          <w:pgMar w:top="1417" w:right="1701" w:bottom="1417" w:left="1701" w:header="680" w:footer="680" w:gutter="0"/>
          <w:pgNumType w:start="1"/>
          <w:cols w:space="720"/>
          <w:docGrid w:linePitch="299"/>
        </w:sectPr>
      </w:pPr>
      <w:r w:rsidRPr="00B61122">
        <w:rPr>
          <w:rFonts w:ascii="Bookman Old Style" w:hAnsi="Bookman Old Style"/>
          <w:i/>
          <w:sz w:val="16"/>
          <w:szCs w:val="16"/>
          <w:lang w:val="en-US"/>
        </w:rPr>
        <w:t xml:space="preserve">World Prison Brief, Institute for Criminal Policy Research. </w:t>
      </w:r>
      <w:r w:rsidRPr="00B61122">
        <w:rPr>
          <w:rFonts w:ascii="Bookman Old Style" w:hAnsi="Bookman Old Style"/>
          <w:i/>
          <w:sz w:val="16"/>
          <w:szCs w:val="16"/>
        </w:rPr>
        <w:t xml:space="preserve">Recuperado de: </w:t>
      </w:r>
      <w:r w:rsidRPr="00B61122">
        <w:rPr>
          <w:rStyle w:val="Hipervnculo"/>
          <w:rFonts w:ascii="Bookman Old Style" w:hAnsi="Bookman Old Style" w:cs="Times New Roman"/>
          <w:i/>
          <w:sz w:val="16"/>
          <w:szCs w:val="16"/>
        </w:rPr>
        <w:t>http://www.prisonstudies.org/highest-to-lowest/prison-population-total</w:t>
      </w:r>
      <w:r w:rsidRPr="00B61122">
        <w:rPr>
          <w:rFonts w:ascii="Bookman Old Style" w:hAnsi="Bookman Old Style"/>
          <w:i/>
          <w:sz w:val="16"/>
          <w:szCs w:val="16"/>
        </w:rPr>
        <w:t xml:space="preserve"> y </w:t>
      </w:r>
      <w:hyperlink r:id="rId23" w:history="1">
        <w:r w:rsidRPr="00B61122">
          <w:rPr>
            <w:rStyle w:val="Hipervnculo"/>
            <w:rFonts w:ascii="Bookman Old Style" w:hAnsi="Bookman Old Style" w:cs="Times New Roman"/>
            <w:i/>
            <w:sz w:val="16"/>
            <w:szCs w:val="16"/>
          </w:rPr>
          <w:t>http://www.prisonstudies.org/country/colombia</w:t>
        </w:r>
      </w:hyperlink>
    </w:p>
    <w:p w:rsidR="007E2A01" w:rsidRDefault="007E2A01" w:rsidP="007E2A01">
      <w:pPr>
        <w:rPr>
          <w:rFonts w:ascii="Bookman Old Style" w:eastAsia="Calibri" w:hAnsi="Bookman Old Style" w:cs="Calibri"/>
          <w:color w:val="000000"/>
          <w:szCs w:val="24"/>
        </w:rPr>
      </w:pPr>
    </w:p>
    <w:p w:rsidR="0017537D" w:rsidRDefault="0017537D"/>
    <w:sectPr w:rsidR="0017537D" w:rsidSect="007E2A01">
      <w:type w:val="continuous"/>
      <w:pgSz w:w="12240" w:h="15840"/>
      <w:pgMar w:top="1940" w:right="1580" w:bottom="2080" w:left="1912" w:header="708" w:footer="189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3249" w:rsidRDefault="00283249" w:rsidP="007E2A01">
      <w:r>
        <w:separator/>
      </w:r>
    </w:p>
  </w:endnote>
  <w:endnote w:type="continuationSeparator" w:id="0">
    <w:p w:rsidR="00283249" w:rsidRDefault="00283249" w:rsidP="007E2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2371729"/>
      <w:docPartObj>
        <w:docPartGallery w:val="Page Numbers (Bottom of Page)"/>
        <w:docPartUnique/>
      </w:docPartObj>
    </w:sdtPr>
    <w:sdtContent>
      <w:sdt>
        <w:sdtPr>
          <w:id w:val="1728636285"/>
          <w:docPartObj>
            <w:docPartGallery w:val="Page Numbers (Top of Page)"/>
            <w:docPartUnique/>
          </w:docPartObj>
        </w:sdtPr>
        <w:sdtContent>
          <w:p w:rsidR="00286A0B" w:rsidRDefault="00286A0B" w:rsidP="007E2A01">
            <w:pPr>
              <w:pStyle w:val="Piedepgina"/>
              <w:ind w:left="-1701"/>
              <w:jc w:val="center"/>
            </w:pPr>
            <w:r>
              <w:t xml:space="preserve">                            </w:t>
            </w:r>
            <w:r>
              <w:rPr>
                <w:lang w:val="es-ES"/>
              </w:rPr>
              <w:t xml:space="preserve">Página </w:t>
            </w:r>
            <w:r>
              <w:rPr>
                <w:b/>
                <w:bCs/>
                <w:sz w:val="24"/>
                <w:szCs w:val="24"/>
              </w:rPr>
              <w:fldChar w:fldCharType="begin"/>
            </w:r>
            <w:r>
              <w:rPr>
                <w:b/>
                <w:bCs/>
              </w:rPr>
              <w:instrText>PAGE</w:instrText>
            </w:r>
            <w:r>
              <w:rPr>
                <w:b/>
                <w:bCs/>
                <w:sz w:val="24"/>
                <w:szCs w:val="24"/>
              </w:rPr>
              <w:fldChar w:fldCharType="separate"/>
            </w:r>
            <w:r w:rsidR="008828E2">
              <w:rPr>
                <w:b/>
                <w:bCs/>
                <w:noProof/>
              </w:rPr>
              <w:t>74</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8828E2">
              <w:rPr>
                <w:b/>
                <w:bCs/>
                <w:noProof/>
              </w:rPr>
              <w:t>75</w:t>
            </w:r>
            <w:r>
              <w:rPr>
                <w:b/>
                <w:bCs/>
                <w:sz w:val="24"/>
                <w:szCs w:val="24"/>
              </w:rPr>
              <w:fldChar w:fldCharType="end"/>
            </w:r>
          </w:p>
        </w:sdtContent>
      </w:sdt>
    </w:sdtContent>
  </w:sdt>
  <w:p w:rsidR="00286A0B" w:rsidRDefault="00286A0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3249" w:rsidRDefault="00283249" w:rsidP="007E2A01">
      <w:r>
        <w:separator/>
      </w:r>
    </w:p>
  </w:footnote>
  <w:footnote w:type="continuationSeparator" w:id="0">
    <w:p w:rsidR="00283249" w:rsidRDefault="00283249" w:rsidP="007E2A01">
      <w:r>
        <w:continuationSeparator/>
      </w:r>
    </w:p>
  </w:footnote>
  <w:footnote w:id="1">
    <w:p w:rsidR="00286A0B" w:rsidRPr="000A2331" w:rsidRDefault="00286A0B" w:rsidP="00076757">
      <w:pPr>
        <w:pStyle w:val="Textonotapie"/>
        <w:jc w:val="both"/>
        <w:rPr>
          <w:rFonts w:ascii="Bookman Old Style" w:hAnsi="Bookman Old Style" w:cs="Times New Roman"/>
          <w:sz w:val="14"/>
          <w:szCs w:val="14"/>
        </w:rPr>
      </w:pPr>
      <w:r w:rsidRPr="000A2331">
        <w:rPr>
          <w:rStyle w:val="Refdenotaalpie"/>
          <w:rFonts w:ascii="Bookman Old Style" w:hAnsi="Bookman Old Style"/>
          <w:sz w:val="14"/>
          <w:szCs w:val="14"/>
        </w:rPr>
        <w:footnoteRef/>
      </w:r>
      <w:r w:rsidRPr="000A2331">
        <w:rPr>
          <w:rFonts w:ascii="Bookman Old Style" w:hAnsi="Bookman Old Style" w:cs="Times New Roman"/>
          <w:sz w:val="14"/>
          <w:szCs w:val="14"/>
        </w:rPr>
        <w:t xml:space="preserve"> </w:t>
      </w:r>
      <w:r w:rsidRPr="000A2331">
        <w:rPr>
          <w:rFonts w:ascii="Bookman Old Style" w:eastAsia="Calibri" w:hAnsi="Bookman Old Style" w:cs="Times New Roman"/>
          <w:sz w:val="14"/>
          <w:szCs w:val="14"/>
        </w:rPr>
        <w:t>“</w:t>
      </w:r>
      <w:r w:rsidRPr="000A2331">
        <w:rPr>
          <w:rFonts w:ascii="Bookman Old Style" w:eastAsia="Calibri" w:hAnsi="Bookman Old Style" w:cs="Times New Roman"/>
          <w:i/>
          <w:sz w:val="14"/>
          <w:szCs w:val="14"/>
        </w:rPr>
        <w:t>Por el cual se reforma el artículo 49 de la Constitución Política</w:t>
      </w:r>
      <w:r w:rsidRPr="000A2331">
        <w:rPr>
          <w:rFonts w:ascii="Bookman Old Style" w:eastAsia="Calibri" w:hAnsi="Bookman Old Style" w:cs="Times New Roman"/>
          <w:sz w:val="14"/>
          <w:szCs w:val="14"/>
        </w:rPr>
        <w:t>.”</w:t>
      </w:r>
    </w:p>
  </w:footnote>
  <w:footnote w:id="2">
    <w:p w:rsidR="00286A0B" w:rsidRPr="000A2331" w:rsidRDefault="00286A0B" w:rsidP="00076757">
      <w:pPr>
        <w:pStyle w:val="Textonotapie"/>
        <w:jc w:val="both"/>
        <w:rPr>
          <w:rFonts w:ascii="Bookman Old Style" w:hAnsi="Bookman Old Style" w:cs="Times New Roman"/>
          <w:sz w:val="14"/>
          <w:szCs w:val="14"/>
        </w:rPr>
      </w:pPr>
      <w:r w:rsidRPr="000A2331">
        <w:rPr>
          <w:rStyle w:val="Refdenotaalpie"/>
          <w:rFonts w:ascii="Bookman Old Style" w:hAnsi="Bookman Old Style"/>
          <w:sz w:val="14"/>
          <w:szCs w:val="14"/>
        </w:rPr>
        <w:footnoteRef/>
      </w:r>
      <w:r w:rsidRPr="000A2331">
        <w:rPr>
          <w:rFonts w:ascii="Bookman Old Style" w:hAnsi="Bookman Old Style" w:cs="Times New Roman"/>
          <w:sz w:val="14"/>
          <w:szCs w:val="14"/>
        </w:rPr>
        <w:t xml:space="preserve"> </w:t>
      </w:r>
      <w:r w:rsidRPr="000A2331">
        <w:rPr>
          <w:rFonts w:ascii="Bookman Old Style" w:hAnsi="Bookman Old Style" w:cs="Times New Roman"/>
          <w:i/>
          <w:iCs/>
          <w:sz w:val="14"/>
          <w:szCs w:val="14"/>
        </w:rPr>
        <w:t>Roberto Serpa Flórez, Psiquiatría médica y jurídica, 2007.</w:t>
      </w:r>
    </w:p>
  </w:footnote>
  <w:footnote w:id="3">
    <w:p w:rsidR="00286A0B" w:rsidRPr="000A2331" w:rsidRDefault="00286A0B" w:rsidP="00076757">
      <w:pPr>
        <w:pStyle w:val="Textonotapie"/>
        <w:jc w:val="both"/>
        <w:rPr>
          <w:rFonts w:ascii="Bookman Old Style" w:hAnsi="Bookman Old Style" w:cs="Times New Roman"/>
          <w:i/>
          <w:iCs/>
          <w:sz w:val="14"/>
          <w:szCs w:val="14"/>
        </w:rPr>
      </w:pPr>
      <w:r w:rsidRPr="000A2331">
        <w:rPr>
          <w:rStyle w:val="Refdenotaalpie"/>
          <w:rFonts w:ascii="Bookman Old Style" w:hAnsi="Bookman Old Style"/>
          <w:i/>
          <w:iCs/>
          <w:sz w:val="14"/>
          <w:szCs w:val="14"/>
        </w:rPr>
        <w:footnoteRef/>
      </w:r>
      <w:r w:rsidRPr="000A2331">
        <w:rPr>
          <w:rFonts w:ascii="Bookman Old Style" w:hAnsi="Bookman Old Style" w:cs="Times New Roman"/>
          <w:i/>
          <w:iCs/>
          <w:sz w:val="14"/>
          <w:szCs w:val="14"/>
        </w:rPr>
        <w:t xml:space="preserve"> </w:t>
      </w:r>
      <w:r w:rsidRPr="000A2331">
        <w:rPr>
          <w:rFonts w:ascii="Bookman Old Style" w:eastAsia="Calibri" w:hAnsi="Bookman Old Style" w:cs="Times New Roman"/>
          <w:i/>
          <w:iCs/>
          <w:sz w:val="14"/>
          <w:szCs w:val="14"/>
        </w:rPr>
        <w:t>(la categoría más restrictiva de la convención sobre drogas de 1961 que reúne las sustancias que se consideran particularmente dañinas y con beneficios médicos limitados).</w:t>
      </w:r>
    </w:p>
  </w:footnote>
  <w:footnote w:id="4">
    <w:p w:rsidR="00286A0B" w:rsidRPr="000A2331" w:rsidRDefault="00286A0B" w:rsidP="00076757">
      <w:pPr>
        <w:pStyle w:val="Textonotapie"/>
        <w:jc w:val="both"/>
        <w:rPr>
          <w:rFonts w:ascii="Bookman Old Style" w:hAnsi="Bookman Old Style" w:cs="Times New Roman"/>
          <w:b/>
          <w:bCs/>
          <w:sz w:val="14"/>
          <w:szCs w:val="14"/>
        </w:rPr>
      </w:pPr>
      <w:r w:rsidRPr="000A2331">
        <w:rPr>
          <w:rStyle w:val="Refdenotaalpie"/>
          <w:rFonts w:ascii="Bookman Old Style" w:hAnsi="Bookman Old Style"/>
          <w:sz w:val="14"/>
          <w:szCs w:val="14"/>
        </w:rPr>
        <w:footnoteRef/>
      </w:r>
      <w:r w:rsidRPr="000A2331">
        <w:rPr>
          <w:rFonts w:ascii="Bookman Old Style" w:hAnsi="Bookman Old Style" w:cs="Times New Roman"/>
          <w:sz w:val="14"/>
          <w:szCs w:val="14"/>
        </w:rPr>
        <w:t xml:space="preserve"> </w:t>
      </w:r>
      <w:r w:rsidRPr="000A2331">
        <w:rPr>
          <w:rFonts w:ascii="Bookman Old Style" w:hAnsi="Bookman Old Style" w:cs="Times New Roman"/>
          <w:i/>
          <w:iCs/>
          <w:sz w:val="14"/>
          <w:szCs w:val="14"/>
        </w:rPr>
        <w:t>International Drug Policy Consortium, 2019. La OMS cambia su posición con respecto a la marihuana, recuperado de: https://idpc.net/es/alerts/2019/02/la-OMS-cambia-su-posicion#.XTS1wX3xB0k.whatsapp.</w:t>
      </w:r>
    </w:p>
  </w:footnote>
  <w:footnote w:id="5">
    <w:p w:rsidR="00286A0B" w:rsidRPr="000512D5" w:rsidRDefault="00286A0B" w:rsidP="00076757">
      <w:pPr>
        <w:pStyle w:val="Textonotapie"/>
        <w:jc w:val="both"/>
        <w:rPr>
          <w:rFonts w:ascii="Times New Roman" w:hAnsi="Times New Roman" w:cs="Times New Roman"/>
          <w:sz w:val="14"/>
          <w:szCs w:val="14"/>
          <w:lang w:val="es-ES"/>
        </w:rPr>
      </w:pPr>
      <w:r w:rsidRPr="000A2331">
        <w:rPr>
          <w:rStyle w:val="Refdenotaalpie"/>
          <w:rFonts w:ascii="Bookman Old Style" w:hAnsi="Bookman Old Style"/>
          <w:sz w:val="14"/>
          <w:szCs w:val="14"/>
        </w:rPr>
        <w:footnoteRef/>
      </w:r>
      <w:r w:rsidRPr="000A2331">
        <w:rPr>
          <w:rFonts w:ascii="Bookman Old Style" w:hAnsi="Bookman Old Style" w:cs="Times New Roman"/>
          <w:sz w:val="14"/>
          <w:szCs w:val="14"/>
        </w:rPr>
        <w:t>https://www.eltiempo.com/justicia/servicios/onu-saca-cannabis-de-lista-de-drogas-mas-peligrosas-y-reconoce-propiedades-medicinales-552551#:~:text=La%20ONU%20aprob%C3%B3%20este%20mi%C3%A9rcoles,con%20fines%20recreativos%20sigue%20prohibido.</w:t>
      </w:r>
    </w:p>
  </w:footnote>
  <w:footnote w:id="6">
    <w:p w:rsidR="00286A0B" w:rsidRPr="002C010E" w:rsidRDefault="00286A0B" w:rsidP="007E2A01">
      <w:pPr>
        <w:jc w:val="both"/>
        <w:rPr>
          <w:rFonts w:ascii="Bookman Old Style" w:hAnsi="Bookman Old Style"/>
          <w:i/>
          <w:sz w:val="14"/>
          <w:szCs w:val="14"/>
        </w:rPr>
      </w:pPr>
      <w:r w:rsidRPr="002C010E">
        <w:rPr>
          <w:rStyle w:val="Refdenotaalpie"/>
          <w:rFonts w:ascii="Bookman Old Style" w:hAnsi="Bookman Old Style"/>
          <w:i/>
          <w:sz w:val="14"/>
          <w:szCs w:val="14"/>
        </w:rPr>
        <w:footnoteRef/>
      </w:r>
      <w:r w:rsidRPr="002C010E">
        <w:rPr>
          <w:rFonts w:ascii="Bookman Old Style" w:hAnsi="Bookman Old Style"/>
          <w:i/>
          <w:sz w:val="14"/>
          <w:szCs w:val="14"/>
        </w:rPr>
        <w:t xml:space="preserve"> Sentencia C-253 de 2019, Corte Constitucional</w:t>
      </w:r>
    </w:p>
  </w:footnote>
  <w:footnote w:id="7">
    <w:p w:rsidR="00286A0B" w:rsidRPr="00D318E3" w:rsidRDefault="00286A0B" w:rsidP="007E2A01">
      <w:pPr>
        <w:pStyle w:val="Textonotapie"/>
      </w:pPr>
      <w:r w:rsidRPr="001D5D7C">
        <w:rPr>
          <w:rStyle w:val="Refdenotaalpie"/>
          <w:rFonts w:ascii="Bookman Old Style" w:hAnsi="Bookman Old Style"/>
          <w:i/>
          <w:sz w:val="14"/>
          <w:szCs w:val="14"/>
        </w:rPr>
        <w:footnoteRef/>
      </w:r>
      <w:r w:rsidRPr="001D5D7C">
        <w:rPr>
          <w:rFonts w:ascii="Bookman Old Style" w:hAnsi="Bookman Old Style"/>
          <w:i/>
          <w:sz w:val="14"/>
          <w:szCs w:val="14"/>
        </w:rPr>
        <w:t xml:space="preserve"> Ibidem.</w:t>
      </w:r>
    </w:p>
  </w:footnote>
  <w:footnote w:id="8">
    <w:p w:rsidR="00286A0B" w:rsidRPr="001D5D7C" w:rsidRDefault="00286A0B" w:rsidP="007E2A01">
      <w:pPr>
        <w:pStyle w:val="Textonotapie"/>
        <w:rPr>
          <w:rFonts w:ascii="Bookman Old Style" w:hAnsi="Bookman Old Style"/>
          <w:i/>
          <w:iCs/>
          <w:sz w:val="14"/>
          <w:szCs w:val="14"/>
        </w:rPr>
      </w:pPr>
      <w:r w:rsidRPr="001D5D7C">
        <w:rPr>
          <w:rStyle w:val="Refdenotaalpie"/>
          <w:rFonts w:ascii="Bookman Old Style" w:hAnsi="Bookman Old Style"/>
          <w:i/>
          <w:iCs/>
          <w:sz w:val="14"/>
          <w:szCs w:val="14"/>
        </w:rPr>
        <w:footnoteRef/>
      </w:r>
      <w:r w:rsidRPr="001D5D7C">
        <w:rPr>
          <w:rFonts w:ascii="Bookman Old Style" w:hAnsi="Bookman Old Style"/>
          <w:i/>
          <w:iCs/>
          <w:sz w:val="14"/>
          <w:szCs w:val="14"/>
        </w:rPr>
        <w:t xml:space="preserve"> Ibidem.</w:t>
      </w:r>
    </w:p>
  </w:footnote>
  <w:footnote w:id="9">
    <w:p w:rsidR="00286A0B" w:rsidRPr="001D5D7C" w:rsidRDefault="00286A0B" w:rsidP="007E2A01">
      <w:pPr>
        <w:pStyle w:val="Textonotapie"/>
        <w:rPr>
          <w:rFonts w:ascii="Bookman Old Style" w:hAnsi="Bookman Old Style"/>
          <w:i/>
          <w:iCs/>
          <w:sz w:val="14"/>
          <w:szCs w:val="14"/>
        </w:rPr>
      </w:pPr>
      <w:r w:rsidRPr="001D5D7C">
        <w:rPr>
          <w:rStyle w:val="Refdenotaalpie"/>
          <w:rFonts w:ascii="Bookman Old Style" w:hAnsi="Bookman Old Style"/>
          <w:i/>
          <w:iCs/>
          <w:sz w:val="14"/>
          <w:szCs w:val="14"/>
        </w:rPr>
        <w:footnoteRef/>
      </w:r>
      <w:r w:rsidRPr="001D5D7C">
        <w:rPr>
          <w:rFonts w:ascii="Bookman Old Style" w:hAnsi="Bookman Old Style"/>
          <w:i/>
          <w:iCs/>
          <w:sz w:val="14"/>
          <w:szCs w:val="14"/>
        </w:rPr>
        <w:t xml:space="preserve"> Sentencia Rad 2018-00387-00 y 2018-00399-00 del 30 de abril de 2020, Consejo de Estado.</w:t>
      </w:r>
    </w:p>
  </w:footnote>
  <w:footnote w:id="10">
    <w:p w:rsidR="00286A0B" w:rsidRPr="000A2331" w:rsidRDefault="00286A0B" w:rsidP="007E2A01">
      <w:pPr>
        <w:pStyle w:val="Textonotapie"/>
        <w:jc w:val="both"/>
        <w:rPr>
          <w:rFonts w:ascii="Bookman Old Style" w:hAnsi="Bookman Old Style" w:cs="Times New Roman"/>
          <w:sz w:val="14"/>
          <w:szCs w:val="14"/>
        </w:rPr>
      </w:pPr>
      <w:r w:rsidRPr="000A2331">
        <w:rPr>
          <w:rStyle w:val="Refdenotaalpie"/>
          <w:rFonts w:ascii="Bookman Old Style" w:hAnsi="Bookman Old Style"/>
          <w:i/>
          <w:sz w:val="14"/>
          <w:szCs w:val="14"/>
        </w:rPr>
        <w:footnoteRef/>
      </w:r>
      <w:r w:rsidRPr="000A2331">
        <w:rPr>
          <w:rFonts w:ascii="Bookman Old Style" w:hAnsi="Bookman Old Style" w:cs="Times New Roman"/>
          <w:i/>
          <w:sz w:val="14"/>
          <w:szCs w:val="14"/>
        </w:rPr>
        <w:t xml:space="preserve"> Esta comparación se basa en la regulación y normatividad de acuerdo a investigaciones publicadas por la Fundación Renovatio y por la Organización de los Estados Americanos (OEA), en específico por la Comisión Interamericana para el Control del Abuso de las Drogas (CICAD) que se encarga del análisis de los procesos regulatorios frente al cannabis y al problema de drogas en las Américas.</w:t>
      </w:r>
    </w:p>
  </w:footnote>
  <w:footnote w:id="11">
    <w:p w:rsidR="00286A0B" w:rsidRPr="000A2331" w:rsidRDefault="00286A0B" w:rsidP="007E2A01">
      <w:pPr>
        <w:pStyle w:val="Textonotapie"/>
        <w:jc w:val="both"/>
        <w:rPr>
          <w:rFonts w:ascii="Bookman Old Style" w:hAnsi="Bookman Old Style" w:cs="Times New Roman"/>
          <w:i/>
          <w:iCs/>
          <w:sz w:val="14"/>
          <w:szCs w:val="14"/>
        </w:rPr>
      </w:pPr>
      <w:r w:rsidRPr="000A2331">
        <w:rPr>
          <w:rStyle w:val="Refdenotaalpie"/>
          <w:rFonts w:ascii="Bookman Old Style" w:hAnsi="Bookman Old Style"/>
          <w:i/>
          <w:iCs/>
          <w:sz w:val="14"/>
          <w:szCs w:val="14"/>
        </w:rPr>
        <w:footnoteRef/>
      </w:r>
      <w:r w:rsidRPr="000A2331">
        <w:rPr>
          <w:rFonts w:ascii="Bookman Old Style" w:hAnsi="Bookman Old Style" w:cs="Times New Roman"/>
          <w:i/>
          <w:iCs/>
          <w:sz w:val="14"/>
          <w:szCs w:val="14"/>
        </w:rPr>
        <w:t xml:space="preserve"> https://cnnespanol.cnn.com/2020/11/06/la-marihuana-recreativa-legal-tuvo-una-gran-victoria-durante-las-elecciones/</w:t>
      </w:r>
    </w:p>
  </w:footnote>
  <w:footnote w:id="12">
    <w:p w:rsidR="00286A0B" w:rsidRPr="000A2331" w:rsidRDefault="00286A0B" w:rsidP="007E2A01">
      <w:pPr>
        <w:pStyle w:val="Textonotapie"/>
        <w:jc w:val="both"/>
        <w:rPr>
          <w:rFonts w:ascii="Bookman Old Style" w:hAnsi="Bookman Old Style" w:cs="Times New Roman"/>
          <w:i/>
          <w:iCs/>
          <w:sz w:val="14"/>
          <w:szCs w:val="14"/>
        </w:rPr>
      </w:pPr>
      <w:r w:rsidRPr="000A2331">
        <w:rPr>
          <w:rStyle w:val="Refdenotaalpie"/>
          <w:rFonts w:ascii="Bookman Old Style" w:hAnsi="Bookman Old Style"/>
          <w:i/>
          <w:iCs/>
          <w:sz w:val="14"/>
          <w:szCs w:val="14"/>
        </w:rPr>
        <w:footnoteRef/>
      </w:r>
      <w:r w:rsidRPr="000A2331">
        <w:rPr>
          <w:rFonts w:ascii="Bookman Old Style" w:hAnsi="Bookman Old Style" w:cs="Times New Roman"/>
          <w:i/>
          <w:iCs/>
          <w:sz w:val="14"/>
          <w:szCs w:val="14"/>
          <w:lang w:val="en-US"/>
        </w:rPr>
        <w:t xml:space="preserve"> Hemp CBD Market. Brightfield Group. </w:t>
      </w:r>
      <w:r w:rsidRPr="000A2331">
        <w:rPr>
          <w:rFonts w:ascii="Bookman Old Style" w:hAnsi="Bookman Old Style" w:cs="Times New Roman"/>
          <w:i/>
          <w:iCs/>
          <w:sz w:val="14"/>
          <w:szCs w:val="14"/>
        </w:rPr>
        <w:t>2021. Recuperado de: https://cnnespanol.cnn.com/2020/11/06/la-marihuana-recreativa-legal-tuvo-una-gran-victoria-durante-las-elecciones/</w:t>
      </w:r>
    </w:p>
  </w:footnote>
  <w:footnote w:id="13">
    <w:p w:rsidR="00286A0B" w:rsidRPr="000A2331" w:rsidRDefault="00286A0B" w:rsidP="007E2A01">
      <w:pPr>
        <w:pStyle w:val="Textonotapie"/>
        <w:jc w:val="both"/>
        <w:rPr>
          <w:rFonts w:ascii="Bookman Old Style" w:hAnsi="Bookman Old Style"/>
        </w:rPr>
      </w:pPr>
      <w:r w:rsidRPr="000A2331">
        <w:rPr>
          <w:rStyle w:val="Refdenotaalpie"/>
          <w:rFonts w:ascii="Bookman Old Style" w:hAnsi="Bookman Old Style"/>
          <w:i/>
          <w:iCs/>
          <w:sz w:val="14"/>
          <w:szCs w:val="14"/>
        </w:rPr>
        <w:footnoteRef/>
      </w:r>
      <w:r w:rsidRPr="000A2331">
        <w:rPr>
          <w:rFonts w:ascii="Bookman Old Style" w:hAnsi="Bookman Old Style"/>
          <w:i/>
          <w:iCs/>
          <w:sz w:val="14"/>
          <w:szCs w:val="14"/>
        </w:rPr>
        <w:t xml:space="preserve"> </w:t>
      </w:r>
      <w:r w:rsidRPr="000A2331">
        <w:rPr>
          <w:rFonts w:ascii="Bookman Old Style" w:hAnsi="Bookman Old Style" w:cs="Times New Roman"/>
          <w:i/>
          <w:iCs/>
          <w:sz w:val="14"/>
          <w:szCs w:val="14"/>
        </w:rPr>
        <w:t>https://cnnespanol.cnn.com/2021/06/29/marihuana-legal-paises-america-latina-cannabis-legal-orix/</w:t>
      </w:r>
    </w:p>
  </w:footnote>
  <w:footnote w:id="14">
    <w:p w:rsidR="00286A0B" w:rsidRPr="000A2331" w:rsidRDefault="00286A0B" w:rsidP="007E2A01">
      <w:pPr>
        <w:pStyle w:val="Textonotapie"/>
        <w:jc w:val="both"/>
        <w:rPr>
          <w:rFonts w:ascii="Bookman Old Style" w:hAnsi="Bookman Old Style"/>
          <w:sz w:val="14"/>
          <w:szCs w:val="14"/>
        </w:rPr>
      </w:pPr>
      <w:r w:rsidRPr="000A2331">
        <w:rPr>
          <w:rStyle w:val="Refdenotaalpie"/>
          <w:rFonts w:ascii="Bookman Old Style" w:hAnsi="Bookman Old Style"/>
          <w:i/>
          <w:iCs/>
          <w:sz w:val="14"/>
          <w:szCs w:val="14"/>
        </w:rPr>
        <w:footnoteRef/>
      </w:r>
      <w:r w:rsidRPr="000A2331">
        <w:rPr>
          <w:rFonts w:ascii="Bookman Old Style" w:hAnsi="Bookman Old Style"/>
          <w:i/>
          <w:iCs/>
          <w:sz w:val="14"/>
          <w:szCs w:val="14"/>
        </w:rPr>
        <w:t xml:space="preserve"> Cannabis medicinal, una oportunidad económica para Colombia. Portafolio. Obtenido de: https://www.portafolio.co/negocios/cannabis-medicinal-una-oportunidad-economica-para-colombia-537448</w:t>
      </w:r>
    </w:p>
  </w:footnote>
  <w:footnote w:id="15">
    <w:p w:rsidR="00286A0B" w:rsidRPr="000A2331" w:rsidRDefault="00286A0B" w:rsidP="007E2A01">
      <w:pPr>
        <w:pStyle w:val="Textonotapie"/>
        <w:jc w:val="both"/>
        <w:rPr>
          <w:rFonts w:ascii="Bookman Old Style" w:hAnsi="Bookman Old Style"/>
          <w:sz w:val="14"/>
          <w:szCs w:val="14"/>
        </w:rPr>
      </w:pPr>
      <w:r w:rsidRPr="000A2331">
        <w:rPr>
          <w:rStyle w:val="Refdenotaalpie"/>
          <w:rFonts w:ascii="Bookman Old Style" w:hAnsi="Bookman Old Style"/>
          <w:sz w:val="14"/>
          <w:szCs w:val="14"/>
        </w:rPr>
        <w:footnoteRef/>
      </w:r>
      <w:r w:rsidRPr="000A2331">
        <w:rPr>
          <w:rFonts w:ascii="Bookman Old Style" w:hAnsi="Bookman Old Style"/>
          <w:sz w:val="14"/>
          <w:szCs w:val="14"/>
        </w:rPr>
        <w:t xml:space="preserve"> </w:t>
      </w:r>
      <w:r w:rsidRPr="000A2331">
        <w:rPr>
          <w:rFonts w:ascii="Bookman Old Style" w:hAnsi="Bookman Old Style" w:cs="Calibri"/>
          <w:sz w:val="14"/>
          <w:szCs w:val="14"/>
        </w:rPr>
        <w:t>Informe 2017. Viena: Oficina de las Naciones Unidas.</w:t>
      </w:r>
    </w:p>
  </w:footnote>
  <w:footnote w:id="16">
    <w:p w:rsidR="00286A0B" w:rsidRPr="000A2331" w:rsidRDefault="00286A0B" w:rsidP="007E2A01">
      <w:pPr>
        <w:pStyle w:val="Textonotapie"/>
        <w:jc w:val="both"/>
        <w:rPr>
          <w:rFonts w:ascii="Bookman Old Style" w:hAnsi="Bookman Old Style"/>
          <w:sz w:val="14"/>
          <w:szCs w:val="14"/>
        </w:rPr>
      </w:pPr>
      <w:r w:rsidRPr="000A2331">
        <w:rPr>
          <w:rStyle w:val="Refdenotaalpie"/>
          <w:rFonts w:ascii="Bookman Old Style" w:hAnsi="Bookman Old Style"/>
          <w:sz w:val="14"/>
          <w:szCs w:val="14"/>
        </w:rPr>
        <w:footnoteRef/>
      </w:r>
      <w:r w:rsidRPr="000A2331">
        <w:rPr>
          <w:rFonts w:ascii="Bookman Old Style" w:hAnsi="Bookman Old Style"/>
          <w:i/>
          <w:sz w:val="14"/>
          <w:szCs w:val="14"/>
        </w:rPr>
        <w:t xml:space="preserve"> https://www.drugpolicy.org/issues/marijuana-legalization-and-regulation</w:t>
      </w:r>
    </w:p>
  </w:footnote>
  <w:footnote w:id="17">
    <w:p w:rsidR="00286A0B" w:rsidRPr="000A2331" w:rsidRDefault="00286A0B" w:rsidP="007E2A01">
      <w:pPr>
        <w:pStyle w:val="Textonotapie"/>
        <w:jc w:val="both"/>
        <w:rPr>
          <w:rFonts w:ascii="Bookman Old Style" w:hAnsi="Bookman Old Style" w:cs="Times New Roman"/>
          <w:i/>
          <w:sz w:val="14"/>
          <w:szCs w:val="14"/>
          <w:lang w:val="en-US"/>
        </w:rPr>
      </w:pPr>
      <w:r w:rsidRPr="000A2331">
        <w:rPr>
          <w:rStyle w:val="Refdenotaalpie"/>
          <w:rFonts w:ascii="Bookman Old Style" w:hAnsi="Bookman Old Style"/>
          <w:i/>
          <w:sz w:val="14"/>
          <w:szCs w:val="14"/>
        </w:rPr>
        <w:footnoteRef/>
      </w:r>
      <w:r w:rsidRPr="000A2331">
        <w:rPr>
          <w:rFonts w:ascii="Bookman Old Style" w:hAnsi="Bookman Old Style" w:cs="Times New Roman"/>
          <w:i/>
          <w:sz w:val="14"/>
          <w:szCs w:val="14"/>
          <w:lang w:val="en-US"/>
        </w:rPr>
        <w:t xml:space="preserve"> Drug Policy Alliance. 2018. From Prohibition to Progress: A Status Report on Marijuana Legalization. What We Know About Marijuana Legalization in Eight States and Washington, D.C. (pp.2) Recuperado de: http://fileserver.idpc.net/library/dpa_marijuana_legalization_report_v8_0.pdf</w:t>
      </w:r>
    </w:p>
  </w:footnote>
  <w:footnote w:id="18">
    <w:p w:rsidR="00286A0B" w:rsidRPr="00FE4E72" w:rsidRDefault="00286A0B" w:rsidP="007E2A01">
      <w:pPr>
        <w:pStyle w:val="Textonotapie"/>
        <w:jc w:val="both"/>
        <w:rPr>
          <w:rFonts w:ascii="Bookman Old Style" w:hAnsi="Bookman Old Style"/>
          <w:i/>
          <w:sz w:val="14"/>
          <w:szCs w:val="14"/>
          <w:lang w:val="en-US"/>
        </w:rPr>
      </w:pPr>
      <w:r w:rsidRPr="000A2331">
        <w:rPr>
          <w:rStyle w:val="Refdenotaalpie"/>
          <w:rFonts w:ascii="Bookman Old Style" w:hAnsi="Bookman Old Style"/>
          <w:i/>
          <w:sz w:val="14"/>
          <w:szCs w:val="14"/>
        </w:rPr>
        <w:footnoteRef/>
      </w:r>
      <w:r w:rsidRPr="00FE4E72">
        <w:rPr>
          <w:rFonts w:ascii="Bookman Old Style" w:hAnsi="Bookman Old Style"/>
          <w:i/>
          <w:sz w:val="14"/>
          <w:szCs w:val="14"/>
          <w:lang w:val="en-US"/>
        </w:rPr>
        <w:t xml:space="preserve"> https://theeconreview.com/2020/12/18/high-economy-impacts-of-marijuana-legalization-on-the-us-economy/</w:t>
      </w:r>
    </w:p>
  </w:footnote>
  <w:footnote w:id="19">
    <w:p w:rsidR="00286A0B" w:rsidRPr="00FE4E72" w:rsidRDefault="00286A0B" w:rsidP="007E2A01">
      <w:pPr>
        <w:pStyle w:val="Textonotapie"/>
        <w:jc w:val="both"/>
        <w:rPr>
          <w:rFonts w:ascii="Bookman Old Style" w:hAnsi="Bookman Old Style" w:cs="Times New Roman"/>
          <w:sz w:val="14"/>
          <w:szCs w:val="14"/>
          <w:lang w:val="en-US"/>
        </w:rPr>
      </w:pPr>
      <w:r w:rsidRPr="000A2331">
        <w:rPr>
          <w:rStyle w:val="Refdenotaalpie"/>
          <w:rFonts w:ascii="Bookman Old Style" w:hAnsi="Bookman Old Style"/>
          <w:i/>
          <w:sz w:val="14"/>
          <w:szCs w:val="14"/>
        </w:rPr>
        <w:footnoteRef/>
      </w:r>
      <w:r w:rsidRPr="00FE4E72">
        <w:rPr>
          <w:rFonts w:ascii="Bookman Old Style" w:hAnsi="Bookman Old Style" w:cs="Times New Roman"/>
          <w:i/>
          <w:sz w:val="14"/>
          <w:szCs w:val="14"/>
          <w:lang w:val="en-US"/>
        </w:rPr>
        <w:t xml:space="preserve"> Ibidem.</w:t>
      </w:r>
    </w:p>
  </w:footnote>
  <w:footnote w:id="20">
    <w:p w:rsidR="00286A0B" w:rsidRPr="000A2331" w:rsidRDefault="00286A0B" w:rsidP="007E2A01">
      <w:pPr>
        <w:pStyle w:val="Textonotapie"/>
        <w:jc w:val="both"/>
        <w:rPr>
          <w:rFonts w:ascii="Bookman Old Style" w:hAnsi="Bookman Old Style" w:cs="Times New Roman"/>
          <w:i/>
          <w:sz w:val="14"/>
          <w:szCs w:val="14"/>
        </w:rPr>
      </w:pPr>
      <w:r w:rsidRPr="000A2331">
        <w:rPr>
          <w:rStyle w:val="Refdenotaalpie"/>
          <w:rFonts w:ascii="Bookman Old Style" w:hAnsi="Bookman Old Style"/>
          <w:i/>
          <w:sz w:val="14"/>
          <w:szCs w:val="14"/>
        </w:rPr>
        <w:footnoteRef/>
      </w:r>
      <w:r w:rsidRPr="000A2331">
        <w:rPr>
          <w:rFonts w:ascii="Bookman Old Style" w:hAnsi="Bookman Old Style" w:cs="Times New Roman"/>
          <w:i/>
          <w:sz w:val="14"/>
          <w:szCs w:val="14"/>
          <w:lang w:val="en-US"/>
        </w:rPr>
        <w:t xml:space="preserve"> Drug Policy Alliance. 2018. From Prohibition to Progress: A Status Report on Marijuana Legalization. What We Know About Marijuana Legalization in Eight States and Washington, D.C.  </w:t>
      </w:r>
      <w:r w:rsidRPr="000A2331">
        <w:rPr>
          <w:rFonts w:ascii="Bookman Old Style" w:hAnsi="Bookman Old Style" w:cs="Times New Roman"/>
          <w:i/>
          <w:sz w:val="14"/>
          <w:szCs w:val="14"/>
        </w:rPr>
        <w:t>(Pp.1) Recuperado de: http://fileserver.idpc.net/library/dpa_marijuana_legalization_report_v8_0.pdf</w:t>
      </w:r>
    </w:p>
  </w:footnote>
  <w:footnote w:id="21">
    <w:p w:rsidR="00286A0B" w:rsidRPr="00207603" w:rsidRDefault="00286A0B" w:rsidP="007E2A01">
      <w:pPr>
        <w:pStyle w:val="Textonotapie"/>
        <w:jc w:val="both"/>
        <w:rPr>
          <w:rFonts w:ascii="Times New Roman" w:hAnsi="Times New Roman" w:cs="Times New Roman"/>
          <w:i/>
          <w:sz w:val="14"/>
          <w:szCs w:val="14"/>
          <w:lang w:val="en-US"/>
        </w:rPr>
      </w:pPr>
      <w:r w:rsidRPr="000A2331">
        <w:rPr>
          <w:rStyle w:val="Refdenotaalpie"/>
          <w:rFonts w:ascii="Bookman Old Style" w:hAnsi="Bookman Old Style"/>
          <w:i/>
          <w:sz w:val="14"/>
          <w:szCs w:val="14"/>
        </w:rPr>
        <w:footnoteRef/>
      </w:r>
      <w:r w:rsidRPr="000A2331">
        <w:rPr>
          <w:rFonts w:ascii="Bookman Old Style" w:hAnsi="Bookman Old Style" w:cs="Times New Roman"/>
          <w:i/>
          <w:sz w:val="14"/>
          <w:szCs w:val="14"/>
          <w:lang w:val="en-US"/>
        </w:rPr>
        <w:t xml:space="preserve"> Ibidem</w:t>
      </w:r>
    </w:p>
  </w:footnote>
  <w:footnote w:id="22">
    <w:p w:rsidR="00286A0B" w:rsidRPr="000A2331" w:rsidRDefault="00286A0B" w:rsidP="007E2A01">
      <w:pPr>
        <w:pStyle w:val="Textonotapie"/>
        <w:jc w:val="both"/>
        <w:rPr>
          <w:rFonts w:ascii="Bookman Old Style" w:hAnsi="Bookman Old Style" w:cs="Times New Roman"/>
          <w:sz w:val="14"/>
          <w:szCs w:val="14"/>
        </w:rPr>
      </w:pPr>
      <w:r w:rsidRPr="000A2331">
        <w:rPr>
          <w:rStyle w:val="Refdenotaalpie"/>
          <w:rFonts w:ascii="Bookman Old Style" w:hAnsi="Bookman Old Style"/>
          <w:i/>
          <w:sz w:val="14"/>
          <w:szCs w:val="14"/>
        </w:rPr>
        <w:footnoteRef/>
      </w:r>
      <w:r w:rsidRPr="000A2331">
        <w:rPr>
          <w:rFonts w:ascii="Bookman Old Style" w:hAnsi="Bookman Old Style" w:cs="Times New Roman"/>
          <w:i/>
          <w:sz w:val="14"/>
          <w:szCs w:val="14"/>
          <w:lang w:val="en-US"/>
        </w:rPr>
        <w:t xml:space="preserve"> Drug Policy Alliance. 2018. From Prohibition to Progress: A Status Report on Marijuana Legalization. What We Know About Marijuana Legalization in Eight States and Washington, D.C.  </w:t>
      </w:r>
      <w:r w:rsidRPr="000A2331">
        <w:rPr>
          <w:rFonts w:ascii="Bookman Old Style" w:hAnsi="Bookman Old Style" w:cs="Times New Roman"/>
          <w:i/>
          <w:sz w:val="14"/>
          <w:szCs w:val="14"/>
        </w:rPr>
        <w:t>(Pp.2) Recuperado de: http://fileserver.idpc.net/library/dpa_marijuana_legalization_report_v8_0.pdf</w:t>
      </w:r>
    </w:p>
  </w:footnote>
  <w:footnote w:id="23">
    <w:p w:rsidR="00286A0B" w:rsidRPr="000A2331" w:rsidRDefault="00286A0B" w:rsidP="007E2A01">
      <w:pPr>
        <w:pStyle w:val="Textonotapie"/>
        <w:jc w:val="both"/>
        <w:rPr>
          <w:rFonts w:ascii="Bookman Old Style" w:hAnsi="Bookman Old Style" w:cs="Times New Roman"/>
          <w:i/>
          <w:sz w:val="14"/>
          <w:szCs w:val="14"/>
          <w:lang w:val="en-US"/>
        </w:rPr>
      </w:pPr>
      <w:r w:rsidRPr="000A2331">
        <w:rPr>
          <w:rStyle w:val="Refdenotaalpie"/>
          <w:rFonts w:ascii="Bookman Old Style" w:hAnsi="Bookman Old Style"/>
          <w:i/>
          <w:sz w:val="14"/>
          <w:szCs w:val="14"/>
        </w:rPr>
        <w:footnoteRef/>
      </w:r>
      <w:r w:rsidRPr="000A2331">
        <w:rPr>
          <w:rFonts w:ascii="Bookman Old Style" w:hAnsi="Bookman Old Style" w:cs="Times New Roman"/>
          <w:i/>
          <w:sz w:val="14"/>
          <w:szCs w:val="14"/>
          <w:lang w:val="en-US"/>
        </w:rPr>
        <w:t xml:space="preserve"> Ibidem.</w:t>
      </w:r>
    </w:p>
  </w:footnote>
  <w:footnote w:id="24">
    <w:p w:rsidR="00286A0B" w:rsidRPr="000A2331" w:rsidRDefault="00286A0B" w:rsidP="007E2A01">
      <w:pPr>
        <w:pStyle w:val="Textonotapie"/>
        <w:jc w:val="both"/>
        <w:rPr>
          <w:rFonts w:ascii="Bookman Old Style" w:hAnsi="Bookman Old Style" w:cs="Times New Roman"/>
          <w:i/>
          <w:sz w:val="14"/>
          <w:szCs w:val="14"/>
        </w:rPr>
      </w:pPr>
      <w:r w:rsidRPr="000A2331">
        <w:rPr>
          <w:rStyle w:val="Refdenotaalpie"/>
          <w:rFonts w:ascii="Bookman Old Style" w:hAnsi="Bookman Old Style"/>
          <w:i/>
          <w:sz w:val="14"/>
          <w:szCs w:val="14"/>
        </w:rPr>
        <w:footnoteRef/>
      </w:r>
      <w:r w:rsidRPr="000A2331">
        <w:rPr>
          <w:rFonts w:ascii="Bookman Old Style" w:hAnsi="Bookman Old Style" w:cs="Times New Roman"/>
          <w:i/>
          <w:sz w:val="14"/>
          <w:szCs w:val="14"/>
          <w:lang w:val="en-US"/>
        </w:rPr>
        <w:t xml:space="preserve"> Drug Policy Alliance. 2018. From Prohibition to Progress: A Status Report on Marijuana Legalization. What We Know About Marijuana Legalization in Eight States and Washington, D.C.  </w:t>
      </w:r>
      <w:r w:rsidRPr="000A2331">
        <w:rPr>
          <w:rFonts w:ascii="Bookman Old Style" w:hAnsi="Bookman Old Style" w:cs="Times New Roman"/>
          <w:i/>
          <w:sz w:val="14"/>
          <w:szCs w:val="14"/>
        </w:rPr>
        <w:t xml:space="preserve">(Pp.2) Recuperado de: http://fileserver.idpc.net/library/dpa_marijuana_legalization_report_v8_0.pdf    </w:t>
      </w:r>
    </w:p>
  </w:footnote>
  <w:footnote w:id="25">
    <w:p w:rsidR="00286A0B" w:rsidRPr="000A2331" w:rsidRDefault="00286A0B" w:rsidP="007E2A01">
      <w:pPr>
        <w:pStyle w:val="Textonotapie"/>
        <w:jc w:val="both"/>
        <w:rPr>
          <w:rFonts w:ascii="Bookman Old Style" w:hAnsi="Bookman Old Style"/>
          <w:i/>
          <w:sz w:val="14"/>
          <w:szCs w:val="14"/>
        </w:rPr>
      </w:pPr>
      <w:r w:rsidRPr="000A2331">
        <w:rPr>
          <w:rStyle w:val="Refdenotaalpie"/>
          <w:rFonts w:ascii="Bookman Old Style" w:hAnsi="Bookman Old Style"/>
          <w:i/>
          <w:sz w:val="14"/>
          <w:szCs w:val="14"/>
        </w:rPr>
        <w:footnoteRef/>
      </w:r>
      <w:r w:rsidRPr="000A2331">
        <w:rPr>
          <w:rFonts w:ascii="Bookman Old Style" w:hAnsi="Bookman Old Style"/>
          <w:i/>
          <w:sz w:val="14"/>
          <w:szCs w:val="14"/>
        </w:rPr>
        <w:t xml:space="preserve"> https://theeconreview.com/2020/12/18/high-economy-impacts-of-marijuana-legalization-on-the-us-economy/</w:t>
      </w:r>
    </w:p>
  </w:footnote>
  <w:footnote w:id="26">
    <w:p w:rsidR="00286A0B" w:rsidRPr="001D5D7C" w:rsidRDefault="00286A0B" w:rsidP="007E2A01">
      <w:pPr>
        <w:pStyle w:val="Textonotapie"/>
        <w:rPr>
          <w:rFonts w:ascii="Bookman Old Style" w:hAnsi="Bookman Old Style"/>
          <w:i/>
          <w:iCs/>
          <w:sz w:val="14"/>
          <w:szCs w:val="14"/>
        </w:rPr>
      </w:pPr>
      <w:r w:rsidRPr="001D5D7C">
        <w:rPr>
          <w:rStyle w:val="Refdenotaalpie"/>
          <w:rFonts w:ascii="Bookman Old Style" w:hAnsi="Bookman Old Style"/>
          <w:i/>
          <w:iCs/>
          <w:sz w:val="14"/>
          <w:szCs w:val="14"/>
        </w:rPr>
        <w:footnoteRef/>
      </w:r>
      <w:r w:rsidRPr="001D5D7C">
        <w:rPr>
          <w:rFonts w:ascii="Bookman Old Style" w:hAnsi="Bookman Old Style"/>
          <w:i/>
          <w:iCs/>
          <w:sz w:val="14"/>
          <w:szCs w:val="14"/>
        </w:rPr>
        <w:t xml:space="preserve"> https://www.natlawreview.com/article/cannabis-banking-will-safe-banking-act-finally-pass</w:t>
      </w:r>
    </w:p>
  </w:footnote>
  <w:footnote w:id="27">
    <w:p w:rsidR="00286A0B" w:rsidRPr="000A2331" w:rsidRDefault="00286A0B" w:rsidP="007E2A01">
      <w:pPr>
        <w:pStyle w:val="Textonotapie"/>
        <w:jc w:val="both"/>
        <w:rPr>
          <w:rFonts w:ascii="Bookman Old Style" w:hAnsi="Bookman Old Style"/>
          <w:i/>
          <w:sz w:val="14"/>
          <w:szCs w:val="14"/>
        </w:rPr>
      </w:pPr>
      <w:r w:rsidRPr="000A2331">
        <w:rPr>
          <w:rStyle w:val="Refdenotaalpie"/>
          <w:rFonts w:ascii="Bookman Old Style" w:hAnsi="Bookman Old Style"/>
          <w:i/>
          <w:sz w:val="14"/>
          <w:szCs w:val="14"/>
        </w:rPr>
        <w:footnoteRef/>
      </w:r>
      <w:r w:rsidRPr="000A2331">
        <w:rPr>
          <w:rFonts w:ascii="Bookman Old Style" w:hAnsi="Bookman Old Style"/>
          <w:i/>
          <w:sz w:val="14"/>
          <w:szCs w:val="14"/>
        </w:rPr>
        <w:t xml:space="preserve"> https://www.nytimes.com/2019/12/03/business/hemp-producers-banks.html</w:t>
      </w:r>
    </w:p>
  </w:footnote>
  <w:footnote w:id="28">
    <w:p w:rsidR="00286A0B" w:rsidRPr="000A2331" w:rsidRDefault="00286A0B" w:rsidP="007E2A01">
      <w:pPr>
        <w:pStyle w:val="Textonotapie"/>
        <w:jc w:val="both"/>
        <w:rPr>
          <w:rFonts w:ascii="Bookman Old Style" w:hAnsi="Bookman Old Style"/>
          <w:i/>
          <w:sz w:val="14"/>
          <w:szCs w:val="14"/>
        </w:rPr>
      </w:pPr>
      <w:r w:rsidRPr="000A2331">
        <w:rPr>
          <w:rStyle w:val="Refdenotaalpie"/>
          <w:rFonts w:ascii="Bookman Old Style" w:hAnsi="Bookman Old Style"/>
          <w:i/>
          <w:sz w:val="14"/>
          <w:szCs w:val="14"/>
        </w:rPr>
        <w:footnoteRef/>
      </w:r>
      <w:r w:rsidRPr="000A2331">
        <w:rPr>
          <w:rFonts w:ascii="Bookman Old Style" w:hAnsi="Bookman Old Style"/>
          <w:i/>
          <w:sz w:val="14"/>
          <w:szCs w:val="14"/>
        </w:rPr>
        <w:t xml:space="preserve"> https://www.law360.com/articles/1286752/congress-could-still-pass-cannabis-legislation-in-2020</w:t>
      </w:r>
    </w:p>
  </w:footnote>
  <w:footnote w:id="29">
    <w:p w:rsidR="00286A0B" w:rsidRPr="000A2331" w:rsidRDefault="00286A0B" w:rsidP="007E2A01">
      <w:pPr>
        <w:pStyle w:val="Textonotapie"/>
        <w:jc w:val="both"/>
        <w:rPr>
          <w:rFonts w:ascii="Bookman Old Style" w:hAnsi="Bookman Old Style" w:cs="Times New Roman"/>
          <w:i/>
          <w:sz w:val="14"/>
          <w:szCs w:val="14"/>
        </w:rPr>
      </w:pPr>
      <w:r w:rsidRPr="000A2331">
        <w:rPr>
          <w:rStyle w:val="Refdenotaalpie"/>
          <w:rFonts w:ascii="Bookman Old Style" w:hAnsi="Bookman Old Style"/>
          <w:i/>
          <w:sz w:val="14"/>
          <w:szCs w:val="14"/>
        </w:rPr>
        <w:footnoteRef/>
      </w:r>
      <w:r w:rsidRPr="000A2331">
        <w:rPr>
          <w:rFonts w:ascii="Bookman Old Style" w:hAnsi="Bookman Old Style" w:cs="Times New Roman"/>
          <w:i/>
          <w:sz w:val="14"/>
          <w:szCs w:val="14"/>
          <w:lang w:val="en-US"/>
        </w:rPr>
        <w:t xml:space="preserve"> Moody´s. 2018. Recreational Marijuana Tax Revenues are Marginal Credit Positives. </w:t>
      </w:r>
      <w:r w:rsidRPr="000A2331">
        <w:rPr>
          <w:rFonts w:ascii="Bookman Old Style" w:hAnsi="Bookman Old Style" w:cs="Times New Roman"/>
          <w:i/>
          <w:sz w:val="14"/>
          <w:szCs w:val="14"/>
        </w:rPr>
        <w:t>Recuperado de: https://www.capitaliq.com/CIQDotNet/CreditResearch/RenderArticle.aspx?articleId=2170361&amp;SctArtId=467339&amp;from=CM&amp;nsl_code=LIME&amp;sourceObjectId=10882078&amp;sourceRevId=3&amp;fee_ind=N&amp;exp_date=20290221-02:28:22</w:t>
      </w:r>
    </w:p>
  </w:footnote>
  <w:footnote w:id="30">
    <w:p w:rsidR="00286A0B" w:rsidRPr="00207603" w:rsidRDefault="00286A0B" w:rsidP="007E2A01">
      <w:pPr>
        <w:pStyle w:val="Textonotapie"/>
        <w:jc w:val="both"/>
        <w:rPr>
          <w:rFonts w:ascii="Times New Roman" w:hAnsi="Times New Roman" w:cs="Times New Roman"/>
          <w:i/>
          <w:sz w:val="14"/>
          <w:szCs w:val="14"/>
          <w:lang w:val="en-US"/>
        </w:rPr>
      </w:pPr>
      <w:r w:rsidRPr="000A2331">
        <w:rPr>
          <w:rStyle w:val="Refdenotaalpie"/>
          <w:rFonts w:ascii="Bookman Old Style" w:hAnsi="Bookman Old Style"/>
          <w:i/>
          <w:sz w:val="14"/>
          <w:szCs w:val="14"/>
        </w:rPr>
        <w:footnoteRef/>
      </w:r>
      <w:r w:rsidRPr="000A2331">
        <w:rPr>
          <w:rFonts w:ascii="Bookman Old Style" w:hAnsi="Bookman Old Style" w:cs="Times New Roman"/>
          <w:i/>
          <w:sz w:val="14"/>
          <w:szCs w:val="14"/>
          <w:lang w:val="en-US"/>
        </w:rPr>
        <w:t xml:space="preserve"> Drug Policy Alliance. 2018. From Prohibition to Progress: A Status Report on Marijuana Legalization. What We Know About Marijuana Legalization in Eight States and Washington, D.C. Recuperado de: http://fileserver.idpc.net/library/dpa_marijuana_legalization_report_v8_0.pdf</w:t>
      </w:r>
    </w:p>
  </w:footnote>
  <w:footnote w:id="31">
    <w:p w:rsidR="00286A0B" w:rsidRPr="00EE71AD" w:rsidRDefault="00286A0B" w:rsidP="007E2A01">
      <w:pPr>
        <w:pStyle w:val="Textonotapie"/>
        <w:jc w:val="both"/>
        <w:rPr>
          <w:rFonts w:ascii="Bookman Old Style" w:hAnsi="Bookman Old Style" w:cs="Times New Roman"/>
          <w:sz w:val="14"/>
          <w:szCs w:val="14"/>
        </w:rPr>
      </w:pPr>
      <w:r w:rsidRPr="00EE71AD">
        <w:rPr>
          <w:rStyle w:val="Refdenotaalpie"/>
          <w:rFonts w:ascii="Bookman Old Style" w:hAnsi="Bookman Old Style"/>
          <w:i/>
          <w:sz w:val="14"/>
          <w:szCs w:val="14"/>
        </w:rPr>
        <w:footnoteRef/>
      </w:r>
      <w:r w:rsidRPr="00EE71AD">
        <w:rPr>
          <w:rFonts w:ascii="Bookman Old Style" w:hAnsi="Bookman Old Style" w:cs="Times New Roman"/>
          <w:i/>
          <w:sz w:val="14"/>
          <w:szCs w:val="14"/>
          <w:lang w:val="en-US"/>
        </w:rPr>
        <w:t xml:space="preserve"> Blumenauer, E. 2018. The Path Forward: Rethinking Federal Marijuana Policy. </w:t>
      </w:r>
      <w:r w:rsidRPr="00EE71AD">
        <w:rPr>
          <w:rFonts w:ascii="Bookman Old Style" w:hAnsi="Bookman Old Style" w:cs="Times New Roman"/>
          <w:i/>
          <w:sz w:val="14"/>
          <w:szCs w:val="14"/>
        </w:rPr>
        <w:t>(P.p.10).  Recuperado de: https://blumenauer.house.gov/sites/blumenauer.house.gov/files/BlumenauerReport_ThePathForward.pdf</w:t>
      </w:r>
    </w:p>
  </w:footnote>
  <w:footnote w:id="32">
    <w:p w:rsidR="00286A0B" w:rsidRPr="00EE71AD" w:rsidRDefault="00286A0B" w:rsidP="007E2A01">
      <w:pPr>
        <w:pStyle w:val="Textonotapie"/>
        <w:jc w:val="both"/>
        <w:rPr>
          <w:rFonts w:ascii="Bookman Old Style" w:hAnsi="Bookman Old Style" w:cs="Times New Roman"/>
          <w:i/>
          <w:sz w:val="14"/>
          <w:szCs w:val="14"/>
        </w:rPr>
      </w:pPr>
      <w:r w:rsidRPr="00EE71AD">
        <w:rPr>
          <w:rStyle w:val="Refdenotaalpie"/>
          <w:rFonts w:ascii="Bookman Old Style" w:hAnsi="Bookman Old Style"/>
          <w:i/>
          <w:sz w:val="14"/>
          <w:szCs w:val="14"/>
        </w:rPr>
        <w:footnoteRef/>
      </w:r>
      <w:r w:rsidRPr="00EE71AD">
        <w:rPr>
          <w:rFonts w:ascii="Bookman Old Style" w:hAnsi="Bookman Old Style" w:cs="Times New Roman"/>
          <w:i/>
          <w:sz w:val="14"/>
          <w:szCs w:val="14"/>
          <w:lang w:val="en-US"/>
        </w:rPr>
        <w:t xml:space="preserve"> Washington Post.  2016. Justin Trudeau may have made the best case for legal pot ever. </w:t>
      </w:r>
      <w:r w:rsidRPr="00EE71AD">
        <w:rPr>
          <w:rFonts w:ascii="Bookman Old Style" w:hAnsi="Bookman Old Style" w:cs="Times New Roman"/>
          <w:i/>
          <w:sz w:val="14"/>
          <w:szCs w:val="14"/>
        </w:rPr>
        <w:t>Recuperado de: https://www.washingtonpost.com/news/wonk/wp/2016/06/10/why-people-who-hate-marijuana-should-legalize-it-anyway-according-to-justin-trudeau/?noredirect=on&amp;utm_term=.75678dd510b9</w:t>
      </w:r>
    </w:p>
  </w:footnote>
  <w:footnote w:id="33">
    <w:p w:rsidR="00286A0B" w:rsidRPr="00EE71AD" w:rsidRDefault="00286A0B" w:rsidP="007E2A01">
      <w:pPr>
        <w:pStyle w:val="Textonotapie"/>
        <w:jc w:val="both"/>
        <w:rPr>
          <w:rFonts w:ascii="Bookman Old Style" w:hAnsi="Bookman Old Style" w:cs="Times New Roman"/>
          <w:i/>
          <w:sz w:val="14"/>
          <w:szCs w:val="14"/>
        </w:rPr>
      </w:pPr>
      <w:r w:rsidRPr="00EE71AD">
        <w:rPr>
          <w:rStyle w:val="Refdenotaalpie"/>
          <w:rFonts w:ascii="Bookman Old Style" w:hAnsi="Bookman Old Style"/>
          <w:i/>
          <w:sz w:val="14"/>
          <w:szCs w:val="14"/>
        </w:rPr>
        <w:footnoteRef/>
      </w:r>
      <w:r w:rsidRPr="00EE71AD">
        <w:rPr>
          <w:rFonts w:ascii="Bookman Old Style" w:hAnsi="Bookman Old Style" w:cs="Times New Roman"/>
          <w:i/>
          <w:sz w:val="14"/>
          <w:szCs w:val="14"/>
        </w:rPr>
        <w:t xml:space="preserve"> Establecida en 2011, la Comisión Global de Políticas de Drogas fue fundada por un grupo de líderes políticos del mundo y expresidentes con el fin de “poner fin a la fracasada guerra a las drogas, y pedir reformas fundamentales del régimen mundial de prohibición de las drogas”. “La Comisión es el grupo más distinguido de líderes de alto nivel que ha convocado a realizar tales cambios de gran alcance – incluyendo no sólo alternativas al encarcelamiento y un mayor énfasis en los enfoques de salud pública al uso de drogas sino también descriminalización y experimentación de regulaciones legales”. Algunos de los comisionados son:  Louise Arbour (Ex-Alta Comisionada para los Derechos Humanos de las Naciones Unidas), Sir Richard Branson (Fundador Virgin Group), Fernando Henrique Cardoso (Expresidente de Brazil), Helen Clark (Ex Primer Ministra de Nueva Zelanda), Ruth Dreifuss (Expresidenta de Suiza), Mohamed ElBaradei (Director General Emerito del Organismo Internacional de Energía Atómica y premio Nobel de Paz), Joyce Banda (Expresidenta de Malawi), César Gaviria (Expresidente de Colombia, Ricardo Lagos (Expresidente de Chile), José Ramos-Horta (Expresidente de Timor-Leste y premio Nobel de Paz), Juan Manuel Santos (Expresidente de Colombia y Premio Nobel de Paz). Recuperado de:  http://www.globalcommissionondrugs.org/wp-content/themes/gcdp_v1/pdf/Global_Commission_on_Drug_Policy_Press_Release_Spanish.pdf</w:t>
      </w:r>
    </w:p>
  </w:footnote>
  <w:footnote w:id="34">
    <w:p w:rsidR="00286A0B" w:rsidRPr="00207603" w:rsidRDefault="00286A0B" w:rsidP="007E2A01">
      <w:pPr>
        <w:pStyle w:val="Textonotapie"/>
        <w:jc w:val="both"/>
        <w:rPr>
          <w:rFonts w:ascii="Times New Roman" w:hAnsi="Times New Roman" w:cs="Times New Roman"/>
          <w:sz w:val="14"/>
          <w:szCs w:val="14"/>
        </w:rPr>
      </w:pPr>
      <w:r w:rsidRPr="00EE71AD">
        <w:rPr>
          <w:rStyle w:val="Refdenotaalpie"/>
          <w:rFonts w:ascii="Bookman Old Style" w:hAnsi="Bookman Old Style"/>
          <w:i/>
          <w:sz w:val="14"/>
          <w:szCs w:val="14"/>
        </w:rPr>
        <w:footnoteRef/>
      </w:r>
      <w:r w:rsidRPr="00EE71AD">
        <w:rPr>
          <w:rFonts w:ascii="Bookman Old Style" w:hAnsi="Bookman Old Style" w:cs="Times New Roman"/>
          <w:i/>
          <w:sz w:val="14"/>
          <w:szCs w:val="14"/>
        </w:rPr>
        <w:t xml:space="preserve"> Comisión Global de Políticas de Drogas. 2018. Regulación: El Control Responsable de las Drogas. Recuperado de: http://fileserver.idpc.net/library/SPA-2018_Regulation_Report_WEB-FINAL.pdf</w:t>
      </w:r>
    </w:p>
  </w:footnote>
  <w:footnote w:id="35">
    <w:p w:rsidR="00286A0B" w:rsidRPr="00EE71AD" w:rsidRDefault="00286A0B" w:rsidP="007E2A01">
      <w:pPr>
        <w:pStyle w:val="Textonotapie"/>
        <w:jc w:val="both"/>
        <w:rPr>
          <w:rFonts w:ascii="Bookman Old Style" w:hAnsi="Bookman Old Style" w:cs="Times New Roman"/>
          <w:sz w:val="14"/>
          <w:szCs w:val="14"/>
        </w:rPr>
      </w:pPr>
      <w:r w:rsidRPr="00EE71AD">
        <w:rPr>
          <w:rStyle w:val="Refdenotaalpie"/>
          <w:rFonts w:ascii="Bookman Old Style" w:hAnsi="Bookman Old Style"/>
          <w:sz w:val="14"/>
          <w:szCs w:val="14"/>
        </w:rPr>
        <w:footnoteRef/>
      </w:r>
      <w:r w:rsidRPr="00EE71AD">
        <w:rPr>
          <w:rFonts w:ascii="Bookman Old Style" w:hAnsi="Bookman Old Style" w:cs="Times New Roman"/>
          <w:sz w:val="14"/>
          <w:szCs w:val="14"/>
        </w:rPr>
        <w:t xml:space="preserve"> </w:t>
      </w:r>
      <w:r w:rsidRPr="00EE71AD">
        <w:rPr>
          <w:rFonts w:ascii="Bookman Old Style" w:hAnsi="Bookman Old Style" w:cs="Times New Roman"/>
          <w:i/>
          <w:iCs/>
          <w:sz w:val="14"/>
          <w:szCs w:val="14"/>
        </w:rPr>
        <w:t>Ibidem.</w:t>
      </w:r>
    </w:p>
  </w:footnote>
  <w:footnote w:id="36">
    <w:p w:rsidR="00286A0B" w:rsidRPr="00EE71AD" w:rsidRDefault="00286A0B" w:rsidP="007E2A01">
      <w:pPr>
        <w:pStyle w:val="Textonotapie"/>
        <w:jc w:val="both"/>
        <w:rPr>
          <w:rFonts w:ascii="Bookman Old Style" w:hAnsi="Bookman Old Style" w:cs="Times New Roman"/>
          <w:i/>
          <w:color w:val="0563C1" w:themeColor="hyperlink"/>
          <w:sz w:val="14"/>
          <w:szCs w:val="14"/>
          <w:u w:val="single"/>
        </w:rPr>
      </w:pPr>
      <w:r w:rsidRPr="00EE71AD">
        <w:rPr>
          <w:rStyle w:val="Refdenotaalpie"/>
          <w:rFonts w:ascii="Bookman Old Style" w:hAnsi="Bookman Old Style"/>
          <w:i/>
          <w:sz w:val="14"/>
          <w:szCs w:val="14"/>
        </w:rPr>
        <w:footnoteRef/>
      </w:r>
      <w:r w:rsidRPr="00EE71AD">
        <w:rPr>
          <w:rFonts w:ascii="Bookman Old Style" w:hAnsi="Bookman Old Style" w:cs="Times New Roman"/>
          <w:i/>
          <w:sz w:val="14"/>
          <w:szCs w:val="14"/>
        </w:rPr>
        <w:t xml:space="preserve"> Comisión Global de Políticas de Drogas. 2018. Regulación: El Control Responsable de las Drogas. (P.p. 33). Recuperado de: http://fileserver.idpc.net/library/SPA-2018_Regulation_Report_WEB-FINAL.pdf.</w:t>
      </w:r>
    </w:p>
  </w:footnote>
  <w:footnote w:id="37">
    <w:p w:rsidR="00286A0B" w:rsidRPr="00207603" w:rsidRDefault="00286A0B" w:rsidP="007E2A01">
      <w:pPr>
        <w:pStyle w:val="Textonotapie"/>
        <w:jc w:val="both"/>
        <w:rPr>
          <w:rFonts w:ascii="Times New Roman" w:hAnsi="Times New Roman" w:cs="Times New Roman"/>
          <w:i/>
          <w:sz w:val="14"/>
          <w:szCs w:val="14"/>
        </w:rPr>
      </w:pPr>
      <w:r w:rsidRPr="00EE71AD">
        <w:rPr>
          <w:rStyle w:val="Refdenotaalpie"/>
          <w:rFonts w:ascii="Bookman Old Style" w:hAnsi="Bookman Old Style"/>
          <w:i/>
          <w:sz w:val="14"/>
          <w:szCs w:val="14"/>
        </w:rPr>
        <w:footnoteRef/>
      </w:r>
      <w:r w:rsidRPr="00EE71AD">
        <w:rPr>
          <w:rFonts w:ascii="Bookman Old Style" w:hAnsi="Bookman Old Style" w:cs="Times New Roman"/>
          <w:i/>
          <w:sz w:val="14"/>
          <w:szCs w:val="14"/>
        </w:rPr>
        <w:t>https://www.unodc.org/documents/commissions/CND/CND_Sessions/CND_63/Statements63_02.03.2020/Country_03.03.2020/Canada.pdf</w:t>
      </w:r>
    </w:p>
  </w:footnote>
  <w:footnote w:id="38">
    <w:p w:rsidR="00286A0B" w:rsidRPr="00EE71AD" w:rsidRDefault="00286A0B" w:rsidP="007E2A01">
      <w:pPr>
        <w:pStyle w:val="Textonotapie"/>
        <w:jc w:val="both"/>
        <w:rPr>
          <w:rFonts w:ascii="Bookman Old Style" w:hAnsi="Bookman Old Style"/>
          <w:i/>
          <w:sz w:val="14"/>
          <w:szCs w:val="14"/>
        </w:rPr>
      </w:pPr>
      <w:r w:rsidRPr="00EE71AD">
        <w:rPr>
          <w:rStyle w:val="Refdenotaalpie"/>
          <w:rFonts w:ascii="Bookman Old Style" w:hAnsi="Bookman Old Style"/>
          <w:i/>
          <w:sz w:val="14"/>
          <w:szCs w:val="14"/>
        </w:rPr>
        <w:footnoteRef/>
      </w:r>
      <w:r w:rsidRPr="00EE71AD">
        <w:rPr>
          <w:rFonts w:ascii="Bookman Old Style" w:hAnsi="Bookman Old Style"/>
          <w:i/>
          <w:sz w:val="14"/>
          <w:szCs w:val="14"/>
        </w:rPr>
        <w:t xml:space="preserve"> https://www.ircca.gub.uy/wp-content/uploads/2020/04/InformeMercadoReguladoCannabis-29feb2020.pdf</w:t>
      </w:r>
    </w:p>
  </w:footnote>
  <w:footnote w:id="39">
    <w:p w:rsidR="00286A0B" w:rsidRPr="00EE71AD" w:rsidRDefault="00286A0B" w:rsidP="007E2A01">
      <w:pPr>
        <w:pStyle w:val="Textonotapie"/>
        <w:jc w:val="both"/>
        <w:rPr>
          <w:rFonts w:ascii="Bookman Old Style" w:hAnsi="Bookman Old Style"/>
          <w:i/>
          <w:sz w:val="14"/>
          <w:szCs w:val="14"/>
        </w:rPr>
      </w:pPr>
      <w:r w:rsidRPr="00EE71AD">
        <w:rPr>
          <w:rStyle w:val="Refdenotaalpie"/>
          <w:rFonts w:ascii="Bookman Old Style" w:hAnsi="Bookman Old Style"/>
          <w:i/>
          <w:sz w:val="14"/>
          <w:szCs w:val="14"/>
        </w:rPr>
        <w:footnoteRef/>
      </w:r>
      <w:r w:rsidRPr="00EE71AD">
        <w:rPr>
          <w:rFonts w:ascii="Bookman Old Style" w:hAnsi="Bookman Old Style"/>
          <w:i/>
          <w:sz w:val="14"/>
          <w:szCs w:val="14"/>
        </w:rPr>
        <w:t xml:space="preserve"> https://www.ircca.gub.uy/wp-content/uploads/2020/04/InformeMercadoReguladoCannabis-29feb2020.pdf</w:t>
      </w:r>
    </w:p>
  </w:footnote>
  <w:footnote w:id="40">
    <w:p w:rsidR="00286A0B" w:rsidRPr="00207603" w:rsidRDefault="00286A0B" w:rsidP="007E2A01">
      <w:pPr>
        <w:pStyle w:val="Textonotapie"/>
        <w:jc w:val="both"/>
        <w:rPr>
          <w:rFonts w:ascii="Times New Roman" w:hAnsi="Times New Roman" w:cs="Times New Roman"/>
          <w:i/>
          <w:sz w:val="14"/>
          <w:szCs w:val="14"/>
        </w:rPr>
      </w:pPr>
      <w:r w:rsidRPr="00EE71AD">
        <w:rPr>
          <w:rStyle w:val="Refdenotaalpie"/>
          <w:rFonts w:ascii="Bookman Old Style" w:hAnsi="Bookman Old Style"/>
          <w:i/>
          <w:sz w:val="14"/>
          <w:szCs w:val="14"/>
        </w:rPr>
        <w:footnoteRef/>
      </w:r>
      <w:r w:rsidRPr="00EE71AD">
        <w:rPr>
          <w:rFonts w:ascii="Bookman Old Style" w:hAnsi="Bookman Old Style" w:cs="Times New Roman"/>
          <w:i/>
          <w:sz w:val="14"/>
          <w:szCs w:val="14"/>
        </w:rPr>
        <w:t xml:space="preserve"> https://eleconomista.com.ar/2020-04-cannabis-en-uruguay-los-problemas-de-suministro-siguen-obstaculizando-el-crecimiento-del-mercado/</w:t>
      </w:r>
    </w:p>
  </w:footnote>
  <w:footnote w:id="41">
    <w:p w:rsidR="00286A0B" w:rsidRPr="00EE71AD" w:rsidRDefault="00286A0B" w:rsidP="007E2A01">
      <w:pPr>
        <w:pStyle w:val="Textonotapie"/>
        <w:jc w:val="both"/>
        <w:rPr>
          <w:rFonts w:ascii="Bookman Old Style" w:hAnsi="Bookman Old Style" w:cs="Times New Roman"/>
          <w:i/>
          <w:sz w:val="14"/>
          <w:szCs w:val="14"/>
        </w:rPr>
      </w:pPr>
      <w:r w:rsidRPr="00EE71AD">
        <w:rPr>
          <w:rStyle w:val="Refdenotaalpie"/>
          <w:rFonts w:ascii="Bookman Old Style" w:hAnsi="Bookman Old Style"/>
          <w:i/>
          <w:sz w:val="14"/>
          <w:szCs w:val="14"/>
        </w:rPr>
        <w:footnoteRef/>
      </w:r>
      <w:r w:rsidRPr="00EE71AD">
        <w:rPr>
          <w:rFonts w:ascii="Bookman Old Style" w:hAnsi="Bookman Old Style" w:cs="Times New Roman"/>
          <w:i/>
          <w:sz w:val="14"/>
          <w:szCs w:val="14"/>
        </w:rPr>
        <w:t xml:space="preserve"> Referencia a “Sobredosis Carcelaria” tomada del título del informe de Dejusticia de 2017 titulado “Sobredosis Carcelaria y Política de Drogas en América Latina”.</w:t>
      </w:r>
    </w:p>
  </w:footnote>
  <w:footnote w:id="42">
    <w:p w:rsidR="00286A0B" w:rsidRPr="00EE71AD" w:rsidRDefault="00286A0B" w:rsidP="007E2A01">
      <w:pPr>
        <w:pStyle w:val="Textonotapie"/>
        <w:jc w:val="both"/>
        <w:rPr>
          <w:rFonts w:ascii="Bookman Old Style" w:hAnsi="Bookman Old Style" w:cs="Times New Roman"/>
          <w:sz w:val="14"/>
          <w:szCs w:val="14"/>
          <w:lang w:val="en-US"/>
        </w:rPr>
      </w:pPr>
      <w:r w:rsidRPr="00EE71AD">
        <w:rPr>
          <w:rStyle w:val="Refdenotaalpie"/>
          <w:rFonts w:ascii="Bookman Old Style" w:hAnsi="Bookman Old Style"/>
          <w:i/>
          <w:sz w:val="14"/>
          <w:szCs w:val="14"/>
        </w:rPr>
        <w:footnoteRef/>
      </w:r>
      <w:r w:rsidRPr="00EE71AD">
        <w:rPr>
          <w:rFonts w:ascii="Bookman Old Style" w:hAnsi="Bookman Old Style" w:cs="Times New Roman"/>
          <w:i/>
          <w:sz w:val="14"/>
          <w:szCs w:val="14"/>
          <w:lang w:val="en-US"/>
        </w:rPr>
        <w:t xml:space="preserve"> Drug Policy Alliance. 2018. From Prohibition to Progress: A Status Report on Marijuana Legalization. What We Know About Marijuana Legalization in Eight States and Washington, D.C. (P.p 1) Recuperado de: http://fileserver.idpc.net/library/dpa_marijuana_legalization_report_v8_0.pdf.</w:t>
      </w:r>
    </w:p>
  </w:footnote>
  <w:footnote w:id="43">
    <w:p w:rsidR="00286A0B" w:rsidRPr="00EE71AD" w:rsidRDefault="00286A0B" w:rsidP="007E2A01">
      <w:pPr>
        <w:pStyle w:val="Textonotapie"/>
        <w:jc w:val="both"/>
        <w:rPr>
          <w:rFonts w:ascii="Bookman Old Style" w:hAnsi="Bookman Old Style" w:cs="Times New Roman"/>
          <w:i/>
          <w:sz w:val="14"/>
          <w:szCs w:val="14"/>
        </w:rPr>
      </w:pPr>
      <w:r w:rsidRPr="00EE71AD">
        <w:rPr>
          <w:rStyle w:val="Refdenotaalpie"/>
          <w:rFonts w:ascii="Bookman Old Style" w:hAnsi="Bookman Old Style"/>
          <w:i/>
          <w:sz w:val="14"/>
          <w:szCs w:val="14"/>
        </w:rPr>
        <w:footnoteRef/>
      </w:r>
      <w:r w:rsidRPr="00EE71AD">
        <w:rPr>
          <w:rFonts w:ascii="Bookman Old Style" w:hAnsi="Bookman Old Style" w:cs="Times New Roman"/>
          <w:i/>
          <w:sz w:val="14"/>
          <w:szCs w:val="14"/>
        </w:rPr>
        <w:t xml:space="preserve"> Ibidem.</w:t>
      </w:r>
    </w:p>
  </w:footnote>
  <w:footnote w:id="44">
    <w:p w:rsidR="00286A0B" w:rsidRPr="00EE71AD" w:rsidRDefault="00286A0B" w:rsidP="007E2A01">
      <w:pPr>
        <w:pStyle w:val="Textonotapie"/>
        <w:jc w:val="both"/>
        <w:rPr>
          <w:rFonts w:ascii="Bookman Old Style" w:hAnsi="Bookman Old Style" w:cs="Times New Roman"/>
          <w:i/>
          <w:sz w:val="14"/>
          <w:szCs w:val="14"/>
        </w:rPr>
      </w:pPr>
      <w:r w:rsidRPr="00EE71AD">
        <w:rPr>
          <w:rStyle w:val="Refdenotaalpie"/>
          <w:rFonts w:ascii="Bookman Old Style" w:hAnsi="Bookman Old Style"/>
          <w:i/>
          <w:sz w:val="14"/>
          <w:szCs w:val="14"/>
        </w:rPr>
        <w:footnoteRef/>
      </w:r>
      <w:r w:rsidRPr="00EE71AD">
        <w:rPr>
          <w:rFonts w:ascii="Bookman Old Style" w:hAnsi="Bookman Old Style" w:cs="Times New Roman"/>
          <w:i/>
          <w:sz w:val="14"/>
          <w:szCs w:val="14"/>
        </w:rPr>
        <w:t xml:space="preserve"> https://www.eltiempo.com/politica/congreso/legalizacion-de-la-marihuana-en-colombia-pulso-politico-538760</w:t>
      </w:r>
    </w:p>
  </w:footnote>
  <w:footnote w:id="45">
    <w:p w:rsidR="00286A0B" w:rsidRPr="00207603" w:rsidRDefault="00286A0B" w:rsidP="007E2A01">
      <w:pPr>
        <w:pStyle w:val="Textonotapie"/>
        <w:jc w:val="both"/>
        <w:rPr>
          <w:rFonts w:ascii="Bookman Old Style" w:hAnsi="Bookman Old Style"/>
          <w:i/>
          <w:sz w:val="14"/>
          <w:szCs w:val="14"/>
        </w:rPr>
      </w:pPr>
      <w:r w:rsidRPr="00EE71AD">
        <w:rPr>
          <w:rStyle w:val="Refdenotaalpie"/>
          <w:rFonts w:ascii="Bookman Old Style" w:hAnsi="Bookman Old Style"/>
          <w:i/>
          <w:sz w:val="14"/>
          <w:szCs w:val="14"/>
        </w:rPr>
        <w:footnoteRef/>
      </w:r>
      <w:r w:rsidRPr="00EE71AD">
        <w:rPr>
          <w:rFonts w:ascii="Bookman Old Style" w:hAnsi="Bookman Old Style"/>
          <w:i/>
          <w:sz w:val="14"/>
          <w:szCs w:val="14"/>
        </w:rPr>
        <w:t xml:space="preserve"> Fedesarrollo (2019) La industria del cannabis medicinal en Colombia. Ramírez, Naranjo, Torres &amp; Mejía. Bogotá. Obtenido de: https://www.repository.fedesarrollo.org.co/handle/11445/3823</w:t>
      </w:r>
    </w:p>
  </w:footnote>
  <w:footnote w:id="46">
    <w:p w:rsidR="00286A0B" w:rsidRPr="00EE71AD" w:rsidRDefault="00286A0B" w:rsidP="007E2A01">
      <w:pPr>
        <w:pStyle w:val="Textonotapie"/>
        <w:jc w:val="both"/>
        <w:rPr>
          <w:rFonts w:ascii="Bookman Old Style" w:hAnsi="Bookman Old Style"/>
          <w:i/>
          <w:sz w:val="14"/>
          <w:szCs w:val="14"/>
        </w:rPr>
      </w:pPr>
      <w:r w:rsidRPr="00EE71AD">
        <w:rPr>
          <w:rStyle w:val="Refdenotaalpie"/>
          <w:rFonts w:ascii="Bookman Old Style" w:hAnsi="Bookman Old Style"/>
          <w:i/>
          <w:sz w:val="14"/>
          <w:szCs w:val="14"/>
        </w:rPr>
        <w:footnoteRef/>
      </w:r>
      <w:r w:rsidRPr="00EE71AD">
        <w:rPr>
          <w:rFonts w:ascii="Bookman Old Style" w:hAnsi="Bookman Old Style"/>
          <w:i/>
          <w:sz w:val="14"/>
          <w:szCs w:val="14"/>
        </w:rPr>
        <w:t xml:space="preserve"> Ibídem.</w:t>
      </w:r>
    </w:p>
  </w:footnote>
  <w:footnote w:id="47">
    <w:p w:rsidR="00286A0B" w:rsidRPr="00EE71AD" w:rsidRDefault="00286A0B" w:rsidP="007E2A01">
      <w:pPr>
        <w:pStyle w:val="Textonotapie"/>
        <w:jc w:val="both"/>
        <w:rPr>
          <w:rFonts w:ascii="Bookman Old Style" w:hAnsi="Bookman Old Style" w:cs="Times New Roman"/>
          <w:sz w:val="14"/>
          <w:szCs w:val="14"/>
        </w:rPr>
      </w:pPr>
      <w:r w:rsidRPr="00EE71AD">
        <w:rPr>
          <w:rStyle w:val="Refdenotaalpie"/>
          <w:rFonts w:ascii="Bookman Old Style" w:hAnsi="Bookman Old Style"/>
          <w:i/>
          <w:sz w:val="14"/>
          <w:szCs w:val="14"/>
        </w:rPr>
        <w:footnoteRef/>
      </w:r>
      <w:r w:rsidRPr="00EE71AD">
        <w:rPr>
          <w:rFonts w:ascii="Bookman Old Style" w:hAnsi="Bookman Old Style" w:cs="Times New Roman"/>
          <w:i/>
          <w:sz w:val="14"/>
          <w:szCs w:val="14"/>
        </w:rPr>
        <w:t xml:space="preserve"> Ibídem.</w:t>
      </w:r>
    </w:p>
  </w:footnote>
  <w:footnote w:id="48">
    <w:p w:rsidR="00286A0B" w:rsidRPr="00EE71AD" w:rsidRDefault="00286A0B" w:rsidP="007E2A01">
      <w:pPr>
        <w:pStyle w:val="Textonotapie"/>
        <w:jc w:val="both"/>
        <w:rPr>
          <w:rFonts w:ascii="Bookman Old Style" w:hAnsi="Bookman Old Style" w:cs="Times New Roman"/>
          <w:i/>
          <w:sz w:val="14"/>
          <w:szCs w:val="14"/>
        </w:rPr>
      </w:pPr>
      <w:r w:rsidRPr="00EE71AD">
        <w:rPr>
          <w:rStyle w:val="Refdenotaalpie"/>
          <w:rFonts w:ascii="Bookman Old Style" w:hAnsi="Bookman Old Style"/>
          <w:i/>
          <w:sz w:val="14"/>
          <w:szCs w:val="14"/>
        </w:rPr>
        <w:footnoteRef/>
      </w:r>
      <w:r w:rsidRPr="00EE71AD">
        <w:rPr>
          <w:rFonts w:ascii="Bookman Old Style" w:hAnsi="Bookman Old Style" w:cs="Times New Roman"/>
          <w:i/>
          <w:sz w:val="14"/>
          <w:szCs w:val="14"/>
        </w:rPr>
        <w:t xml:space="preserve"> Revista Dinero. Colombia "lidera" industria emergente del cannabis medicinal en Latinoamérica.  Obtenido de: https://www.dinero.com/empresas/articulo/industria-del-cannabis-medicinal-en-colombia/291948</w:t>
      </w:r>
    </w:p>
  </w:footnote>
  <w:footnote w:id="49">
    <w:p w:rsidR="00286A0B" w:rsidRPr="00EE71AD" w:rsidRDefault="00286A0B" w:rsidP="007E2A01">
      <w:pPr>
        <w:pStyle w:val="Textonotapie"/>
        <w:jc w:val="both"/>
        <w:rPr>
          <w:rFonts w:ascii="Bookman Old Style" w:hAnsi="Bookman Old Style" w:cs="Times New Roman"/>
          <w:i/>
          <w:sz w:val="14"/>
          <w:szCs w:val="14"/>
        </w:rPr>
      </w:pPr>
      <w:r w:rsidRPr="00EE71AD">
        <w:rPr>
          <w:rStyle w:val="Refdenotaalpie"/>
          <w:rFonts w:ascii="Bookman Old Style" w:hAnsi="Bookman Old Style"/>
          <w:i/>
          <w:sz w:val="14"/>
          <w:szCs w:val="14"/>
        </w:rPr>
        <w:footnoteRef/>
      </w:r>
      <w:r w:rsidRPr="00EE71AD">
        <w:rPr>
          <w:rFonts w:ascii="Bookman Old Style" w:hAnsi="Bookman Old Style" w:cs="Times New Roman"/>
          <w:i/>
          <w:sz w:val="14"/>
          <w:szCs w:val="14"/>
        </w:rPr>
        <w:t xml:space="preserve"> Asocolcanna. ¿Cannabis medicinal, el salvavidas que necesita la economía? Obtenida de: http://asocolcanna.org/noticias/cannabis-medicinal-el-salvavidas-que-necesita-la-economia/</w:t>
      </w:r>
    </w:p>
  </w:footnote>
  <w:footnote w:id="50">
    <w:p w:rsidR="00286A0B" w:rsidRPr="00207603" w:rsidRDefault="00286A0B" w:rsidP="007E2A01">
      <w:pPr>
        <w:pStyle w:val="Textonotapie"/>
        <w:jc w:val="both"/>
        <w:rPr>
          <w:sz w:val="14"/>
          <w:szCs w:val="14"/>
        </w:rPr>
      </w:pPr>
      <w:r w:rsidRPr="00EE71AD">
        <w:rPr>
          <w:rStyle w:val="Refdenotaalpie"/>
          <w:rFonts w:ascii="Bookman Old Style" w:hAnsi="Bookman Old Style"/>
          <w:sz w:val="14"/>
          <w:szCs w:val="14"/>
        </w:rPr>
        <w:footnoteRef/>
      </w:r>
      <w:r w:rsidRPr="00EE71AD">
        <w:rPr>
          <w:rFonts w:ascii="Bookman Old Style" w:hAnsi="Bookman Old Style" w:cs="Times New Roman"/>
          <w:sz w:val="14"/>
          <w:szCs w:val="14"/>
        </w:rPr>
        <w:t xml:space="preserve"> Fedesarrollo (2019) La industria del cannabis medicinal en Colombia. Ramírez, Naranjo, Torres &amp; Mejía. Bogotá. Obtenido de: https://www.repository.fedesarrollo.org.co/handle/11445/3823</w:t>
      </w:r>
    </w:p>
  </w:footnote>
  <w:footnote w:id="51">
    <w:p w:rsidR="00286A0B" w:rsidRPr="00EE71AD" w:rsidRDefault="00286A0B" w:rsidP="007E2A01">
      <w:pPr>
        <w:pStyle w:val="Textonotapie"/>
        <w:jc w:val="both"/>
        <w:rPr>
          <w:rFonts w:ascii="Bookman Old Style" w:hAnsi="Bookman Old Style" w:cs="Times New Roman"/>
          <w:sz w:val="14"/>
          <w:szCs w:val="14"/>
        </w:rPr>
      </w:pPr>
      <w:r w:rsidRPr="00EE71AD">
        <w:rPr>
          <w:rStyle w:val="Refdenotaalpie"/>
          <w:rFonts w:ascii="Bookman Old Style" w:hAnsi="Bookman Old Style"/>
          <w:i/>
          <w:sz w:val="14"/>
          <w:szCs w:val="14"/>
        </w:rPr>
        <w:footnoteRef/>
      </w:r>
      <w:r w:rsidRPr="00EE71AD">
        <w:rPr>
          <w:rFonts w:ascii="Bookman Old Style" w:hAnsi="Bookman Old Style" w:cs="Times New Roman"/>
          <w:i/>
          <w:sz w:val="14"/>
          <w:szCs w:val="14"/>
        </w:rPr>
        <w:t xml:space="preserve"> Rodrigo Uprimny, “Una oportunidad perdida”, Dejusticia. 2019.</w:t>
      </w:r>
    </w:p>
  </w:footnote>
  <w:footnote w:id="52">
    <w:p w:rsidR="00286A0B" w:rsidRPr="001E18FE" w:rsidRDefault="00286A0B" w:rsidP="007E2A01">
      <w:pPr>
        <w:pStyle w:val="Textonotapie"/>
        <w:jc w:val="both"/>
        <w:rPr>
          <w:rFonts w:ascii="Times New Roman" w:hAnsi="Times New Roman" w:cs="Times New Roman"/>
          <w:i/>
        </w:rPr>
      </w:pPr>
      <w:r w:rsidRPr="00EE71AD">
        <w:rPr>
          <w:rStyle w:val="Refdenotaalpie"/>
          <w:rFonts w:ascii="Bookman Old Style" w:hAnsi="Bookman Old Style"/>
          <w:i/>
          <w:sz w:val="14"/>
          <w:szCs w:val="14"/>
        </w:rPr>
        <w:footnoteRef/>
      </w:r>
      <w:r w:rsidRPr="00EE71AD">
        <w:rPr>
          <w:rFonts w:ascii="Bookman Old Style" w:hAnsi="Bookman Old Style" w:cs="Times New Roman"/>
          <w:i/>
          <w:sz w:val="14"/>
          <w:szCs w:val="14"/>
        </w:rPr>
        <w:t xml:space="preserve"> Preámbulo de la Constitución Política de 1991.</w:t>
      </w:r>
    </w:p>
  </w:footnote>
  <w:footnote w:id="53">
    <w:p w:rsidR="00286A0B" w:rsidRPr="00EE71AD" w:rsidRDefault="00286A0B" w:rsidP="007E2A01">
      <w:pPr>
        <w:pStyle w:val="Textonotapie"/>
        <w:jc w:val="both"/>
        <w:rPr>
          <w:rFonts w:ascii="Bookman Old Style" w:hAnsi="Bookman Old Style" w:cs="Times New Roman"/>
          <w:i/>
          <w:sz w:val="14"/>
          <w:szCs w:val="14"/>
        </w:rPr>
      </w:pPr>
      <w:r w:rsidRPr="00EE71AD">
        <w:rPr>
          <w:rStyle w:val="Refdenotaalpie"/>
          <w:rFonts w:ascii="Bookman Old Style" w:hAnsi="Bookman Old Style"/>
          <w:i/>
          <w:sz w:val="14"/>
          <w:szCs w:val="14"/>
        </w:rPr>
        <w:footnoteRef/>
      </w:r>
      <w:r w:rsidRPr="00EE71AD">
        <w:rPr>
          <w:rFonts w:ascii="Bookman Old Style" w:hAnsi="Bookman Old Style" w:cs="Times New Roman"/>
          <w:i/>
          <w:sz w:val="14"/>
          <w:szCs w:val="14"/>
        </w:rPr>
        <w:t xml:space="preserve"> Corte Constitucional, Sentencia C-336 de 2008. M.P. Clara Inés Vargas Hernández.</w:t>
      </w:r>
    </w:p>
  </w:footnote>
  <w:footnote w:id="54">
    <w:p w:rsidR="00286A0B" w:rsidRPr="00EE71AD" w:rsidRDefault="00286A0B" w:rsidP="007E2A01">
      <w:pPr>
        <w:pStyle w:val="Textonotapie"/>
        <w:jc w:val="both"/>
        <w:rPr>
          <w:rFonts w:ascii="Bookman Old Style" w:hAnsi="Bookman Old Style" w:cs="Times New Roman"/>
          <w:i/>
          <w:sz w:val="14"/>
          <w:szCs w:val="14"/>
        </w:rPr>
      </w:pPr>
      <w:r w:rsidRPr="00EE71AD">
        <w:rPr>
          <w:rStyle w:val="Refdenotaalpie"/>
          <w:rFonts w:ascii="Bookman Old Style" w:hAnsi="Bookman Old Style"/>
          <w:i/>
          <w:sz w:val="14"/>
          <w:szCs w:val="14"/>
        </w:rPr>
        <w:footnoteRef/>
      </w:r>
      <w:r w:rsidRPr="00EE71AD">
        <w:rPr>
          <w:rFonts w:ascii="Bookman Old Style" w:hAnsi="Bookman Old Style" w:cs="Times New Roman"/>
          <w:i/>
          <w:sz w:val="14"/>
          <w:szCs w:val="14"/>
        </w:rPr>
        <w:t xml:space="preserve"> </w:t>
      </w:r>
      <w:r w:rsidRPr="00EE71AD">
        <w:rPr>
          <w:rFonts w:ascii="Bookman Old Style" w:hAnsi="Bookman Old Style" w:cs="Times New Roman"/>
          <w:i/>
          <w:iCs/>
          <w:sz w:val="14"/>
          <w:szCs w:val="14"/>
        </w:rPr>
        <w:t>Ibidem.</w:t>
      </w:r>
    </w:p>
  </w:footnote>
  <w:footnote w:id="55">
    <w:p w:rsidR="00286A0B" w:rsidRPr="00EE71AD" w:rsidRDefault="00286A0B" w:rsidP="007E2A01">
      <w:pPr>
        <w:pStyle w:val="Textonotapie"/>
        <w:jc w:val="both"/>
        <w:rPr>
          <w:rFonts w:ascii="Bookman Old Style" w:hAnsi="Bookman Old Style" w:cs="Times New Roman"/>
          <w:sz w:val="14"/>
          <w:szCs w:val="14"/>
        </w:rPr>
      </w:pPr>
      <w:r w:rsidRPr="00EE71AD">
        <w:rPr>
          <w:rStyle w:val="Refdenotaalpie"/>
          <w:rFonts w:ascii="Bookman Old Style" w:hAnsi="Bookman Old Style"/>
          <w:i/>
          <w:sz w:val="14"/>
          <w:szCs w:val="14"/>
        </w:rPr>
        <w:footnoteRef/>
      </w:r>
      <w:r w:rsidRPr="00EE71AD">
        <w:rPr>
          <w:rFonts w:ascii="Bookman Old Style" w:hAnsi="Bookman Old Style" w:cs="Times New Roman"/>
          <w:i/>
          <w:sz w:val="14"/>
          <w:szCs w:val="14"/>
        </w:rPr>
        <w:t xml:space="preserve"> No le corresponde al Estado, ni a la sociedad, sino a las propias personas, decidir sobre la manera en cómo desarrollan sus derechos y construyen sus proyectos y modelos de realización personal”. Corte Constitucional Sentencia T-516 de 1998 M.P.: Antonio Barrera.</w:t>
      </w:r>
    </w:p>
  </w:footnote>
  <w:footnote w:id="56">
    <w:p w:rsidR="00286A0B" w:rsidRPr="001E18FE" w:rsidRDefault="00286A0B" w:rsidP="007E2A01">
      <w:pPr>
        <w:pStyle w:val="Textonotapie"/>
        <w:jc w:val="both"/>
        <w:rPr>
          <w:rFonts w:ascii="Times New Roman" w:hAnsi="Times New Roman" w:cs="Times New Roman"/>
          <w:i/>
        </w:rPr>
      </w:pPr>
      <w:r w:rsidRPr="00EE71AD">
        <w:rPr>
          <w:rStyle w:val="Refdenotaalpie"/>
          <w:rFonts w:ascii="Bookman Old Style" w:hAnsi="Bookman Old Style"/>
          <w:i/>
          <w:sz w:val="14"/>
          <w:szCs w:val="14"/>
        </w:rPr>
        <w:footnoteRef/>
      </w:r>
      <w:r w:rsidRPr="00EE71AD">
        <w:rPr>
          <w:rFonts w:ascii="Bookman Old Style" w:hAnsi="Bookman Old Style" w:cs="Times New Roman"/>
          <w:i/>
          <w:sz w:val="14"/>
          <w:szCs w:val="14"/>
        </w:rPr>
        <w:t xml:space="preserve"> Corte Constitucional, Sentencia C-221 de 1994. M.P. Carlos Gaviria Díaz.</w:t>
      </w:r>
    </w:p>
  </w:footnote>
  <w:footnote w:id="57">
    <w:p w:rsidR="00286A0B" w:rsidRPr="00EE71AD" w:rsidRDefault="00286A0B" w:rsidP="007E2A01">
      <w:pPr>
        <w:pStyle w:val="Textonotapie"/>
        <w:jc w:val="both"/>
        <w:rPr>
          <w:rFonts w:ascii="Bookman Old Style" w:hAnsi="Bookman Old Style" w:cs="Times New Roman"/>
          <w:i/>
          <w:sz w:val="14"/>
          <w:szCs w:val="14"/>
        </w:rPr>
      </w:pPr>
      <w:r w:rsidRPr="00EE71AD">
        <w:rPr>
          <w:rStyle w:val="Refdenotaalpie"/>
          <w:rFonts w:ascii="Bookman Old Style" w:hAnsi="Bookman Old Style"/>
          <w:i/>
          <w:sz w:val="14"/>
          <w:szCs w:val="14"/>
        </w:rPr>
        <w:footnoteRef/>
      </w:r>
      <w:r w:rsidRPr="00EE71AD">
        <w:rPr>
          <w:rFonts w:ascii="Bookman Old Style" w:hAnsi="Bookman Old Style" w:cs="Times New Roman"/>
          <w:i/>
          <w:sz w:val="14"/>
          <w:szCs w:val="14"/>
        </w:rPr>
        <w:t xml:space="preserve"> “Todas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 El Estado promoverá las condiciones para que la igualdad sea real y efectiva y adoptará medidas en favor de grupos discriminados o marginados.</w:t>
      </w:r>
    </w:p>
    <w:p w:rsidR="00286A0B" w:rsidRPr="00EE71AD" w:rsidRDefault="00286A0B" w:rsidP="007E2A01">
      <w:pPr>
        <w:jc w:val="both"/>
        <w:rPr>
          <w:rFonts w:ascii="Bookman Old Style" w:hAnsi="Bookman Old Style"/>
          <w:i/>
          <w:sz w:val="14"/>
          <w:szCs w:val="14"/>
        </w:rPr>
      </w:pPr>
      <w:r w:rsidRPr="00EE71AD">
        <w:rPr>
          <w:rFonts w:ascii="Bookman Old Style" w:hAnsi="Bookman Old Style"/>
          <w:i/>
          <w:sz w:val="14"/>
          <w:szCs w:val="14"/>
        </w:rPr>
        <w:t>El Estado protegerá especialmente a aquellas personas que, por su condición económica, física o mental, se encuentren en circunstancia de debilidad manifiesta y sancionará los abusos o maltratos que contra ellas se cometan”</w:t>
      </w:r>
    </w:p>
  </w:footnote>
  <w:footnote w:id="58">
    <w:p w:rsidR="00286A0B" w:rsidRPr="00EE71AD" w:rsidRDefault="00286A0B" w:rsidP="007E2A01">
      <w:pPr>
        <w:pStyle w:val="Textonotapie"/>
        <w:jc w:val="both"/>
        <w:rPr>
          <w:rFonts w:ascii="Bookman Old Style" w:hAnsi="Bookman Old Style" w:cs="Times New Roman"/>
          <w:sz w:val="14"/>
          <w:szCs w:val="14"/>
        </w:rPr>
      </w:pPr>
      <w:r w:rsidRPr="00EE71AD">
        <w:rPr>
          <w:rStyle w:val="Refdenotaalpie"/>
          <w:rFonts w:ascii="Bookman Old Style" w:hAnsi="Bookman Old Style"/>
          <w:i/>
          <w:sz w:val="14"/>
          <w:szCs w:val="14"/>
        </w:rPr>
        <w:footnoteRef/>
      </w:r>
      <w:r w:rsidRPr="00EE71AD">
        <w:rPr>
          <w:rFonts w:ascii="Bookman Old Style" w:hAnsi="Bookman Old Style" w:cs="Times New Roman"/>
          <w:i/>
          <w:sz w:val="14"/>
          <w:szCs w:val="14"/>
        </w:rPr>
        <w:t xml:space="preserve"> Corte Constitucional, sentencia C-220 de 2017. M.P. José Antonio Cepeda Amarís (E).</w:t>
      </w:r>
    </w:p>
  </w:footnote>
  <w:footnote w:id="59">
    <w:p w:rsidR="00286A0B" w:rsidRPr="001E18FE" w:rsidRDefault="00286A0B" w:rsidP="007E2A01">
      <w:pPr>
        <w:pStyle w:val="Textonotapie"/>
        <w:jc w:val="both"/>
        <w:rPr>
          <w:rFonts w:ascii="Times New Roman" w:hAnsi="Times New Roman" w:cs="Times New Roman"/>
          <w:i/>
        </w:rPr>
      </w:pPr>
      <w:r w:rsidRPr="00EE71AD">
        <w:rPr>
          <w:rStyle w:val="Refdenotaalpie"/>
          <w:rFonts w:ascii="Bookman Old Style" w:hAnsi="Bookman Old Style"/>
          <w:i/>
          <w:sz w:val="14"/>
          <w:szCs w:val="14"/>
        </w:rPr>
        <w:footnoteRef/>
      </w:r>
      <w:r w:rsidRPr="00EE71AD">
        <w:rPr>
          <w:rFonts w:ascii="Bookman Old Style" w:hAnsi="Bookman Old Style" w:cs="Times New Roman"/>
          <w:i/>
          <w:sz w:val="14"/>
          <w:szCs w:val="14"/>
        </w:rPr>
        <w:t xml:space="preserve"> </w:t>
      </w:r>
      <w:r w:rsidRPr="00EE71AD">
        <w:rPr>
          <w:rFonts w:ascii="Bookman Old Style" w:eastAsia="Calibri" w:hAnsi="Bookman Old Style" w:cs="Times New Roman"/>
          <w:i/>
          <w:sz w:val="14"/>
          <w:szCs w:val="14"/>
          <w:lang w:eastAsia="es-CO"/>
        </w:rPr>
        <w:t>Corte Constitucional, Sentencia C-104 de 2016. M.P. Luis Guillermo Guerrero Pérez.</w:t>
      </w:r>
    </w:p>
  </w:footnote>
  <w:footnote w:id="60">
    <w:p w:rsidR="00286A0B" w:rsidRPr="00EE71AD" w:rsidRDefault="00286A0B" w:rsidP="007E2A01">
      <w:pPr>
        <w:pStyle w:val="Textonotapie"/>
        <w:jc w:val="both"/>
        <w:rPr>
          <w:rFonts w:ascii="Bookman Old Style" w:hAnsi="Bookman Old Style" w:cs="Times New Roman"/>
          <w:i/>
          <w:sz w:val="14"/>
          <w:szCs w:val="14"/>
          <w:lang w:val="en-US"/>
        </w:rPr>
      </w:pPr>
      <w:r w:rsidRPr="00EE71AD">
        <w:rPr>
          <w:rStyle w:val="Refdenotaalpie"/>
          <w:rFonts w:ascii="Bookman Old Style" w:hAnsi="Bookman Old Style"/>
          <w:i/>
          <w:sz w:val="14"/>
          <w:szCs w:val="14"/>
        </w:rPr>
        <w:footnoteRef/>
      </w:r>
      <w:r w:rsidRPr="00EE71AD">
        <w:rPr>
          <w:rFonts w:ascii="Bookman Old Style" w:hAnsi="Bookman Old Style" w:cs="Times New Roman"/>
          <w:i/>
          <w:sz w:val="14"/>
          <w:szCs w:val="14"/>
          <w:lang w:val="en-US"/>
        </w:rPr>
        <w:t xml:space="preserve"> </w:t>
      </w:r>
      <w:r w:rsidRPr="00EE71AD">
        <w:rPr>
          <w:rFonts w:ascii="Bookman Old Style" w:eastAsia="Calibri" w:hAnsi="Bookman Old Style" w:cs="Times New Roman"/>
          <w:i/>
          <w:sz w:val="14"/>
          <w:szCs w:val="14"/>
          <w:lang w:val="en-US"/>
        </w:rPr>
        <w:t>P. Westen. Speaking of equality. An Analisis of the Rhetorical forcé of Equality” in moral and legal discoruse, Princenton University Press, 1990, cap.v.</w:t>
      </w:r>
    </w:p>
  </w:footnote>
  <w:footnote w:id="61">
    <w:p w:rsidR="00286A0B" w:rsidRPr="00EE71AD" w:rsidRDefault="00286A0B" w:rsidP="007E2A01">
      <w:pPr>
        <w:pStyle w:val="Textonotapie"/>
        <w:jc w:val="both"/>
        <w:rPr>
          <w:rFonts w:ascii="Bookman Old Style" w:hAnsi="Bookman Old Style" w:cs="Times New Roman"/>
          <w:i/>
          <w:sz w:val="14"/>
          <w:szCs w:val="14"/>
        </w:rPr>
      </w:pPr>
      <w:r w:rsidRPr="00EE71AD">
        <w:rPr>
          <w:rStyle w:val="Refdenotaalpie"/>
          <w:rFonts w:ascii="Bookman Old Style" w:hAnsi="Bookman Old Style"/>
          <w:i/>
          <w:sz w:val="14"/>
          <w:szCs w:val="14"/>
        </w:rPr>
        <w:footnoteRef/>
      </w:r>
      <w:r w:rsidRPr="00EE71AD">
        <w:rPr>
          <w:rFonts w:ascii="Bookman Old Style" w:hAnsi="Bookman Old Style" w:cs="Times New Roman"/>
          <w:i/>
          <w:sz w:val="14"/>
          <w:szCs w:val="14"/>
        </w:rPr>
        <w:t xml:space="preserve"> </w:t>
      </w:r>
      <w:r w:rsidRPr="00EE71AD">
        <w:rPr>
          <w:rFonts w:ascii="Bookman Old Style" w:eastAsia="Calibri" w:hAnsi="Bookman Old Style" w:cs="Times New Roman"/>
          <w:i/>
          <w:sz w:val="14"/>
          <w:szCs w:val="14"/>
          <w:lang w:eastAsia="es-CO"/>
        </w:rPr>
        <w:t>Corte Constitucional, Sentencia T-171 de 2018. Cristina Pardo Schlesinger.</w:t>
      </w:r>
    </w:p>
  </w:footnote>
  <w:footnote w:id="62">
    <w:p w:rsidR="00286A0B" w:rsidRPr="00207603" w:rsidRDefault="00286A0B" w:rsidP="007E2A01">
      <w:pPr>
        <w:pStyle w:val="Textonotapie"/>
        <w:jc w:val="both"/>
        <w:rPr>
          <w:rFonts w:ascii="Times New Roman" w:hAnsi="Times New Roman" w:cs="Times New Roman"/>
          <w:sz w:val="14"/>
          <w:szCs w:val="14"/>
        </w:rPr>
      </w:pPr>
      <w:r w:rsidRPr="00EE71AD">
        <w:rPr>
          <w:rStyle w:val="Refdenotaalpie"/>
          <w:rFonts w:ascii="Bookman Old Style" w:hAnsi="Bookman Old Style"/>
          <w:i/>
          <w:sz w:val="14"/>
          <w:szCs w:val="14"/>
        </w:rPr>
        <w:footnoteRef/>
      </w:r>
      <w:r w:rsidRPr="00EE71AD">
        <w:rPr>
          <w:rFonts w:ascii="Bookman Old Style" w:hAnsi="Bookman Old Style" w:cs="Times New Roman"/>
          <w:i/>
          <w:sz w:val="14"/>
          <w:szCs w:val="14"/>
        </w:rPr>
        <w:t xml:space="preserve"> </w:t>
      </w:r>
      <w:r w:rsidRPr="00EE71AD">
        <w:rPr>
          <w:rFonts w:ascii="Bookman Old Style" w:eastAsia="Calibri" w:hAnsi="Bookman Old Style" w:cs="Times New Roman"/>
          <w:i/>
          <w:sz w:val="14"/>
          <w:szCs w:val="14"/>
          <w:lang w:eastAsia="es-CO"/>
        </w:rPr>
        <w:t>Corte Constitucional, Sentencia T-452 de 2018 M.P. José Fernando Reyes Cuartas.</w:t>
      </w:r>
    </w:p>
  </w:footnote>
  <w:footnote w:id="63">
    <w:p w:rsidR="00286A0B" w:rsidRPr="00EE71AD" w:rsidRDefault="00286A0B" w:rsidP="007E2A01">
      <w:pPr>
        <w:pStyle w:val="Textonotapie"/>
        <w:jc w:val="both"/>
        <w:rPr>
          <w:rFonts w:ascii="Bookman Old Style" w:hAnsi="Bookman Old Style" w:cs="Times New Roman"/>
          <w:i/>
          <w:sz w:val="14"/>
          <w:szCs w:val="14"/>
        </w:rPr>
      </w:pPr>
      <w:r w:rsidRPr="00EE71AD">
        <w:rPr>
          <w:rStyle w:val="Refdenotaalpie"/>
          <w:rFonts w:ascii="Bookman Old Style" w:hAnsi="Bookman Old Style"/>
          <w:i/>
          <w:sz w:val="14"/>
          <w:szCs w:val="14"/>
        </w:rPr>
        <w:footnoteRef/>
      </w:r>
      <w:r w:rsidRPr="00EE71AD">
        <w:rPr>
          <w:rFonts w:ascii="Bookman Old Style" w:hAnsi="Bookman Old Style" w:cs="Times New Roman"/>
          <w:i/>
          <w:sz w:val="14"/>
          <w:szCs w:val="14"/>
        </w:rPr>
        <w:t xml:space="preserve"> </w:t>
      </w:r>
      <w:r w:rsidRPr="00EE71AD">
        <w:rPr>
          <w:rFonts w:ascii="Bookman Old Style" w:eastAsia="Calibri" w:hAnsi="Bookman Old Style" w:cs="Times New Roman"/>
          <w:i/>
          <w:sz w:val="14"/>
          <w:szCs w:val="14"/>
          <w:lang w:eastAsia="es-CO"/>
        </w:rPr>
        <w:t>Corte Constitucional, sentencia C-420 de 2002, M.P. Jaime Córdoba Triviño.</w:t>
      </w:r>
    </w:p>
  </w:footnote>
  <w:footnote w:id="64">
    <w:p w:rsidR="00286A0B" w:rsidRPr="001E18FE" w:rsidRDefault="00286A0B" w:rsidP="007E2A01">
      <w:pPr>
        <w:pStyle w:val="Textonotapie"/>
        <w:jc w:val="both"/>
        <w:rPr>
          <w:rFonts w:ascii="Times New Roman" w:hAnsi="Times New Roman" w:cs="Times New Roman"/>
          <w:lang w:val="en-US"/>
        </w:rPr>
      </w:pPr>
      <w:r w:rsidRPr="00EE71AD">
        <w:rPr>
          <w:rStyle w:val="Refdenotaalpie"/>
          <w:rFonts w:ascii="Bookman Old Style" w:hAnsi="Bookman Old Style"/>
          <w:i/>
          <w:sz w:val="14"/>
          <w:szCs w:val="14"/>
        </w:rPr>
        <w:footnoteRef/>
      </w:r>
      <w:r w:rsidRPr="00EE71AD">
        <w:rPr>
          <w:rFonts w:ascii="Bookman Old Style" w:hAnsi="Bookman Old Style" w:cs="Times New Roman"/>
          <w:i/>
          <w:sz w:val="14"/>
          <w:szCs w:val="14"/>
          <w:lang w:val="en-US"/>
        </w:rPr>
        <w:t xml:space="preserve"> </w:t>
      </w:r>
      <w:r w:rsidRPr="00EE71AD">
        <w:rPr>
          <w:rFonts w:ascii="Bookman Old Style" w:hAnsi="Bookman Old Style" w:cs="Times New Roman"/>
          <w:i/>
          <w:iCs/>
          <w:sz w:val="14"/>
          <w:szCs w:val="14"/>
          <w:lang w:val="en-US"/>
        </w:rPr>
        <w:t>Ibidem.</w:t>
      </w:r>
    </w:p>
  </w:footnote>
  <w:footnote w:id="65">
    <w:p w:rsidR="00286A0B" w:rsidRPr="00EE71AD" w:rsidRDefault="00286A0B" w:rsidP="007E2A01">
      <w:pPr>
        <w:pStyle w:val="Textonotapie"/>
        <w:jc w:val="both"/>
        <w:rPr>
          <w:rFonts w:ascii="Bookman Old Style" w:hAnsi="Bookman Old Style" w:cs="Times New Roman"/>
          <w:sz w:val="14"/>
          <w:szCs w:val="14"/>
        </w:rPr>
      </w:pPr>
      <w:r w:rsidRPr="00EE71AD">
        <w:rPr>
          <w:rStyle w:val="Refdenotaalpie"/>
          <w:rFonts w:ascii="Bookman Old Style" w:hAnsi="Bookman Old Style"/>
          <w:i/>
          <w:sz w:val="14"/>
          <w:szCs w:val="14"/>
        </w:rPr>
        <w:footnoteRef/>
      </w:r>
      <w:r w:rsidRPr="00EE71AD">
        <w:rPr>
          <w:rFonts w:ascii="Bookman Old Style" w:hAnsi="Bookman Old Style" w:cs="Times New Roman"/>
          <w:i/>
          <w:sz w:val="14"/>
          <w:szCs w:val="14"/>
          <w:lang w:val="en-US"/>
        </w:rPr>
        <w:t xml:space="preserve"> Leslie King and Lawrence Phillips. “Drug harms in the UK: a multicriteria decision analysis”. </w:t>
      </w:r>
      <w:r w:rsidRPr="00EE71AD">
        <w:rPr>
          <w:rFonts w:ascii="Bookman Old Style" w:hAnsi="Bookman Old Style" w:cs="Times New Roman"/>
          <w:i/>
          <w:sz w:val="14"/>
          <w:szCs w:val="14"/>
        </w:rPr>
        <w:t>David Nutt. The Lancet, 2010.</w:t>
      </w:r>
    </w:p>
  </w:footnote>
  <w:footnote w:id="66">
    <w:p w:rsidR="00286A0B" w:rsidRPr="00EE71AD" w:rsidRDefault="00286A0B" w:rsidP="007E2A01">
      <w:pPr>
        <w:pStyle w:val="Textonotapie"/>
        <w:jc w:val="both"/>
        <w:rPr>
          <w:rFonts w:ascii="Bookman Old Style" w:hAnsi="Bookman Old Style" w:cs="Times New Roman"/>
          <w:i/>
          <w:sz w:val="14"/>
          <w:szCs w:val="14"/>
        </w:rPr>
      </w:pPr>
      <w:r w:rsidRPr="00EE71AD">
        <w:rPr>
          <w:rFonts w:ascii="Bookman Old Style" w:hAnsi="Bookman Old Style" w:cs="Times New Roman"/>
          <w:i/>
          <w:sz w:val="14"/>
          <w:szCs w:val="14"/>
          <w:lang w:val="en-US"/>
        </w:rPr>
        <w:footnoteRef/>
      </w:r>
      <w:r w:rsidRPr="00EE71AD">
        <w:rPr>
          <w:rFonts w:ascii="Bookman Old Style" w:hAnsi="Bookman Old Style" w:cs="Times New Roman"/>
          <w:i/>
          <w:sz w:val="14"/>
          <w:szCs w:val="14"/>
        </w:rPr>
        <w:t xml:space="preserve"> Organización Mundial de la Salud (2019). Alcohol. Disponible en: </w:t>
      </w:r>
      <w:hyperlink r:id="rId1" w:history="1">
        <w:r w:rsidRPr="00EE71AD">
          <w:rPr>
            <w:rStyle w:val="Hipervnculo"/>
            <w:rFonts w:ascii="Bookman Old Style" w:hAnsi="Bookman Old Style" w:cs="Times New Roman"/>
            <w:i/>
            <w:sz w:val="14"/>
            <w:szCs w:val="14"/>
          </w:rPr>
          <w:t>https://www.who.int/es/news-room/fact-sheets/detail/tobacco</w:t>
        </w:r>
      </w:hyperlink>
    </w:p>
  </w:footnote>
  <w:footnote w:id="67">
    <w:p w:rsidR="00286A0B" w:rsidRPr="003F1DF3" w:rsidRDefault="00286A0B" w:rsidP="007E2A01">
      <w:pPr>
        <w:pStyle w:val="Textonotapie"/>
        <w:jc w:val="both"/>
        <w:rPr>
          <w:rFonts w:ascii="Times New Roman" w:hAnsi="Times New Roman" w:cs="Times New Roman"/>
          <w:i/>
          <w:sz w:val="14"/>
          <w:szCs w:val="14"/>
        </w:rPr>
      </w:pPr>
      <w:r w:rsidRPr="00EE71AD">
        <w:rPr>
          <w:rFonts w:ascii="Bookman Old Style" w:hAnsi="Bookman Old Style" w:cs="Times New Roman"/>
          <w:i/>
          <w:sz w:val="14"/>
          <w:szCs w:val="14"/>
          <w:lang w:val="en-US"/>
        </w:rPr>
        <w:footnoteRef/>
      </w:r>
      <w:r w:rsidRPr="00EE71AD">
        <w:rPr>
          <w:rFonts w:ascii="Bookman Old Style" w:hAnsi="Bookman Old Style" w:cs="Times New Roman"/>
          <w:i/>
          <w:sz w:val="14"/>
          <w:szCs w:val="14"/>
        </w:rPr>
        <w:t xml:space="preserve"> Organización Mundial de la Salud (2019). Tabaco. Disponible en: https://www.who.int/es/news-room/fact-sheets/detail/tobacco</w:t>
      </w:r>
    </w:p>
  </w:footnote>
  <w:footnote w:id="68">
    <w:p w:rsidR="00286A0B" w:rsidRPr="00EE71AD" w:rsidRDefault="00286A0B" w:rsidP="007E2A01">
      <w:pPr>
        <w:jc w:val="both"/>
        <w:rPr>
          <w:rFonts w:ascii="Bookman Old Style" w:eastAsiaTheme="minorHAnsi" w:hAnsi="Bookman Old Style"/>
          <w:i/>
          <w:sz w:val="14"/>
          <w:szCs w:val="14"/>
          <w:lang w:val="en-US" w:eastAsia="en-US"/>
        </w:rPr>
      </w:pPr>
      <w:r w:rsidRPr="00EE71AD">
        <w:rPr>
          <w:rFonts w:ascii="Bookman Old Style" w:eastAsiaTheme="minorHAnsi" w:hAnsi="Bookman Old Style"/>
          <w:i/>
          <w:sz w:val="14"/>
          <w:szCs w:val="14"/>
          <w:lang w:val="en-US" w:eastAsia="en-US"/>
        </w:rPr>
        <w:footnoteRef/>
      </w:r>
      <w:r w:rsidRPr="00EE71AD">
        <w:rPr>
          <w:rFonts w:ascii="Bookman Old Style" w:eastAsiaTheme="minorHAnsi" w:hAnsi="Bookman Old Style"/>
          <w:i/>
          <w:sz w:val="14"/>
          <w:szCs w:val="14"/>
          <w:lang w:eastAsia="en-US"/>
        </w:rPr>
        <w:t xml:space="preserve"> Lopez-Quintero C, Pérez de los Cobos J, Hasin DS, et al. </w:t>
      </w:r>
      <w:r w:rsidRPr="00EE71AD">
        <w:rPr>
          <w:rFonts w:ascii="Bookman Old Style" w:eastAsiaTheme="minorHAnsi" w:hAnsi="Bookman Old Style"/>
          <w:i/>
          <w:sz w:val="14"/>
          <w:szCs w:val="14"/>
          <w:lang w:val="en-US" w:eastAsia="en-US"/>
        </w:rPr>
        <w:t>(2011) Probability and predictors of transition from first use to dependence on nicotine, alcohol, cannabis, and cocaine: results of the National Epidemiologic Survey on Alcohol and Related Conditions (NESARC). Drug Alcohol Depend. 2011;115(1-2):120-130. doi:10.1016/j.drugalcdep.2010.11.004</w:t>
      </w:r>
    </w:p>
  </w:footnote>
  <w:footnote w:id="69">
    <w:p w:rsidR="00286A0B" w:rsidRPr="00EE71AD" w:rsidRDefault="00286A0B" w:rsidP="007E2A01">
      <w:pPr>
        <w:jc w:val="both"/>
        <w:rPr>
          <w:rFonts w:ascii="Bookman Old Style" w:hAnsi="Bookman Old Style"/>
          <w:color w:val="000000"/>
          <w:sz w:val="14"/>
          <w:szCs w:val="14"/>
        </w:rPr>
      </w:pPr>
      <w:r w:rsidRPr="00EE71AD">
        <w:rPr>
          <w:rFonts w:ascii="Bookman Old Style" w:eastAsiaTheme="minorHAnsi" w:hAnsi="Bookman Old Style"/>
          <w:i/>
          <w:sz w:val="14"/>
          <w:szCs w:val="14"/>
          <w:lang w:val="en-US" w:eastAsia="en-US"/>
        </w:rPr>
        <w:footnoteRef/>
      </w:r>
      <w:r w:rsidRPr="00EE71AD">
        <w:rPr>
          <w:rFonts w:ascii="Bookman Old Style" w:eastAsiaTheme="minorHAnsi" w:hAnsi="Bookman Old Style"/>
          <w:i/>
          <w:sz w:val="14"/>
          <w:szCs w:val="14"/>
          <w:lang w:val="en-US" w:eastAsia="en-US"/>
        </w:rPr>
        <w:t xml:space="preserve"> Marel, C., Sunderland, M., Mills, K. L., Slade, T., Teesson, M., &amp; Chapman, C. (2019). Conditional probabilities of substance use disorders and associated risk factors: Progression from first use to use disorder on alcohol, cannabis, stimulants, sedatives and opioids. </w:t>
      </w:r>
      <w:r w:rsidRPr="00EE71AD">
        <w:rPr>
          <w:rFonts w:ascii="Bookman Old Style" w:eastAsiaTheme="minorHAnsi" w:hAnsi="Bookman Old Style"/>
          <w:i/>
          <w:sz w:val="14"/>
          <w:szCs w:val="14"/>
          <w:lang w:eastAsia="en-US"/>
        </w:rPr>
        <w:t>Drug and alcohol dependence, 194, 136–142. https://doi.org/10.1016/j.drugalcdep.2018.10.010</w:t>
      </w:r>
    </w:p>
  </w:footnote>
  <w:footnote w:id="70">
    <w:p w:rsidR="00286A0B" w:rsidRPr="00EE71AD" w:rsidRDefault="00286A0B" w:rsidP="007E2A01">
      <w:pPr>
        <w:jc w:val="both"/>
        <w:rPr>
          <w:rFonts w:ascii="Bookman Old Style" w:eastAsiaTheme="minorHAnsi" w:hAnsi="Bookman Old Style"/>
          <w:i/>
          <w:sz w:val="14"/>
          <w:szCs w:val="14"/>
          <w:lang w:eastAsia="en-US"/>
        </w:rPr>
      </w:pPr>
      <w:r w:rsidRPr="00EE71AD">
        <w:rPr>
          <w:rFonts w:ascii="Bookman Old Style" w:eastAsiaTheme="minorHAnsi" w:hAnsi="Bookman Old Style"/>
          <w:i/>
          <w:sz w:val="14"/>
          <w:szCs w:val="14"/>
          <w:lang w:val="en-US" w:eastAsia="en-US"/>
        </w:rPr>
        <w:footnoteRef/>
      </w:r>
      <w:r w:rsidRPr="00EE71AD">
        <w:rPr>
          <w:rFonts w:ascii="Bookman Old Style" w:eastAsiaTheme="minorHAnsi" w:hAnsi="Bookman Old Style"/>
          <w:i/>
          <w:sz w:val="14"/>
          <w:szCs w:val="14"/>
          <w:lang w:eastAsia="en-US"/>
        </w:rPr>
        <w:t xml:space="preserve"> NIH. La mariguana- DrugFacts. Obtenido de: https://www.drugabuse.gov/es/publicaciones/drugfacts/la-marihuana</w:t>
      </w:r>
    </w:p>
  </w:footnote>
  <w:footnote w:id="71">
    <w:p w:rsidR="00286A0B" w:rsidRPr="00EE71AD" w:rsidRDefault="00286A0B" w:rsidP="007E2A01">
      <w:pPr>
        <w:jc w:val="both"/>
        <w:rPr>
          <w:rFonts w:ascii="Bookman Old Style" w:eastAsiaTheme="minorHAnsi" w:hAnsi="Bookman Old Style"/>
          <w:i/>
          <w:sz w:val="14"/>
          <w:szCs w:val="14"/>
          <w:lang w:eastAsia="en-US"/>
        </w:rPr>
      </w:pPr>
      <w:r w:rsidRPr="00EE71AD">
        <w:rPr>
          <w:rFonts w:ascii="Bookman Old Style" w:eastAsiaTheme="minorHAnsi" w:hAnsi="Bookman Old Style"/>
          <w:i/>
          <w:sz w:val="14"/>
          <w:szCs w:val="14"/>
          <w:lang w:val="en-US" w:eastAsia="en-US"/>
        </w:rPr>
        <w:footnoteRef/>
      </w:r>
      <w:r w:rsidRPr="00EE71AD">
        <w:rPr>
          <w:rFonts w:ascii="Bookman Old Style" w:eastAsiaTheme="minorHAnsi" w:hAnsi="Bookman Old Style"/>
          <w:i/>
          <w:sz w:val="14"/>
          <w:szCs w:val="14"/>
          <w:lang w:val="en-US" w:eastAsia="en-US"/>
        </w:rPr>
        <w:t xml:space="preserve"> Ver también: German Lopez. </w:t>
      </w:r>
      <w:hyperlink r:id="rId2" w:tgtFrame="_blank" w:history="1">
        <w:r w:rsidRPr="004D2009">
          <w:rPr>
            <w:rFonts w:ascii="Bookman Old Style" w:eastAsiaTheme="minorHAnsi" w:hAnsi="Bookman Old Style"/>
            <w:i/>
            <w:sz w:val="14"/>
            <w:szCs w:val="14"/>
            <w:lang w:val="en-US" w:eastAsia="en-US"/>
          </w:rPr>
          <w:t xml:space="preserve">The three deathliest drugs in America. </w:t>
        </w:r>
        <w:r w:rsidRPr="00EE71AD">
          <w:rPr>
            <w:rFonts w:ascii="Bookman Old Style" w:eastAsiaTheme="minorHAnsi" w:hAnsi="Bookman Old Style"/>
            <w:i/>
            <w:sz w:val="14"/>
            <w:szCs w:val="14"/>
            <w:lang w:eastAsia="en-US"/>
          </w:rPr>
          <w:t>Vox 2017</w:t>
        </w:r>
      </w:hyperlink>
      <w:r w:rsidRPr="00EE71AD">
        <w:rPr>
          <w:rFonts w:ascii="Bookman Old Style" w:eastAsiaTheme="minorHAnsi" w:hAnsi="Bookman Old Style"/>
          <w:i/>
          <w:sz w:val="14"/>
          <w:szCs w:val="14"/>
          <w:lang w:eastAsia="en-US"/>
        </w:rPr>
        <w:t>.</w:t>
      </w:r>
    </w:p>
  </w:footnote>
  <w:footnote w:id="72">
    <w:p w:rsidR="00286A0B" w:rsidRPr="00AF4882" w:rsidRDefault="00286A0B" w:rsidP="007E2A01">
      <w:pPr>
        <w:jc w:val="both"/>
        <w:rPr>
          <w:sz w:val="14"/>
          <w:szCs w:val="14"/>
        </w:rPr>
      </w:pPr>
      <w:r w:rsidRPr="00EE71AD">
        <w:rPr>
          <w:rFonts w:ascii="Bookman Old Style" w:eastAsiaTheme="minorHAnsi" w:hAnsi="Bookman Old Style"/>
          <w:i/>
          <w:sz w:val="14"/>
          <w:szCs w:val="14"/>
          <w:lang w:val="en-US" w:eastAsia="en-US"/>
        </w:rPr>
        <w:footnoteRef/>
      </w:r>
      <w:r w:rsidRPr="00EE71AD">
        <w:rPr>
          <w:rFonts w:ascii="Bookman Old Style" w:eastAsiaTheme="minorHAnsi" w:hAnsi="Bookman Old Style"/>
          <w:i/>
          <w:sz w:val="14"/>
          <w:szCs w:val="14"/>
          <w:lang w:eastAsia="en-US"/>
        </w:rPr>
        <w:t xml:space="preserve"> Pablo Zuleta (2020). Nuevas políticas de drogas deben prevenir el consumo problemático. Obtenido de: https://redesdal.org/blog/f/el-cambio-en-pol%C3%ADtica-de-drogas-debe-buscar-prevenir-el-consumo.</w:t>
      </w:r>
    </w:p>
  </w:footnote>
  <w:footnote w:id="73">
    <w:p w:rsidR="00286A0B" w:rsidRPr="00EE71AD" w:rsidRDefault="00286A0B" w:rsidP="007E2A01">
      <w:pPr>
        <w:jc w:val="both"/>
        <w:rPr>
          <w:rFonts w:ascii="Bookman Old Style" w:eastAsiaTheme="minorHAnsi" w:hAnsi="Bookman Old Style"/>
          <w:i/>
          <w:sz w:val="14"/>
          <w:szCs w:val="14"/>
          <w:lang w:eastAsia="en-US"/>
        </w:rPr>
      </w:pPr>
      <w:r w:rsidRPr="00EE71AD">
        <w:rPr>
          <w:rFonts w:ascii="Bookman Old Style" w:eastAsiaTheme="minorHAnsi" w:hAnsi="Bookman Old Style"/>
          <w:i/>
          <w:sz w:val="14"/>
          <w:szCs w:val="14"/>
          <w:lang w:val="en-US" w:eastAsia="en-US"/>
        </w:rPr>
        <w:footnoteRef/>
      </w:r>
      <w:r w:rsidRPr="00EE71AD">
        <w:rPr>
          <w:rFonts w:ascii="Bookman Old Style" w:eastAsiaTheme="minorHAnsi" w:hAnsi="Bookman Old Style"/>
          <w:i/>
          <w:sz w:val="14"/>
          <w:szCs w:val="14"/>
          <w:lang w:eastAsia="en-US"/>
        </w:rPr>
        <w:t xml:space="preserve"> Revista médica JAVA Pediatrics, 2019.</w:t>
      </w:r>
    </w:p>
  </w:footnote>
  <w:footnote w:id="74">
    <w:p w:rsidR="00286A0B" w:rsidRPr="00EE71AD" w:rsidRDefault="00286A0B" w:rsidP="007E2A01">
      <w:pPr>
        <w:jc w:val="both"/>
        <w:rPr>
          <w:rFonts w:ascii="Bookman Old Style" w:eastAsiaTheme="minorHAnsi" w:hAnsi="Bookman Old Style"/>
          <w:i/>
          <w:sz w:val="14"/>
          <w:szCs w:val="14"/>
          <w:lang w:eastAsia="en-US"/>
        </w:rPr>
      </w:pPr>
      <w:r w:rsidRPr="00EE71AD">
        <w:rPr>
          <w:rFonts w:ascii="Bookman Old Style" w:eastAsiaTheme="minorHAnsi" w:hAnsi="Bookman Old Style"/>
          <w:i/>
          <w:sz w:val="14"/>
          <w:szCs w:val="14"/>
          <w:lang w:val="en-US" w:eastAsia="en-US"/>
        </w:rPr>
        <w:footnoteRef/>
      </w:r>
      <w:r w:rsidRPr="00EE71AD">
        <w:rPr>
          <w:rFonts w:ascii="Bookman Old Style" w:eastAsiaTheme="minorHAnsi" w:hAnsi="Bookman Old Style"/>
          <w:i/>
          <w:sz w:val="14"/>
          <w:szCs w:val="14"/>
          <w:lang w:eastAsia="en-US"/>
        </w:rPr>
        <w:t xml:space="preserve"> Hannah Laqueur, Ariadne Rivera-Aguirre, Aaron Shev, Alvaro Castillo-Carniglia, Kara E. Rudolph, Jessica Ramirez, Silvia S. Martins, Magdalena Cerdá, The impact of cannabis legalization in Uruguay on adolescent cannabis use, International Jou</w:t>
      </w:r>
    </w:p>
  </w:footnote>
  <w:footnote w:id="75">
    <w:p w:rsidR="00286A0B" w:rsidRPr="00EE71AD" w:rsidRDefault="00286A0B" w:rsidP="007E2A01">
      <w:pPr>
        <w:jc w:val="both"/>
        <w:rPr>
          <w:rFonts w:ascii="Bookman Old Style" w:eastAsiaTheme="minorHAnsi" w:hAnsi="Bookman Old Style"/>
          <w:i/>
          <w:sz w:val="14"/>
          <w:szCs w:val="14"/>
          <w:lang w:eastAsia="en-US"/>
        </w:rPr>
      </w:pPr>
      <w:r w:rsidRPr="00EE71AD">
        <w:rPr>
          <w:rFonts w:ascii="Bookman Old Style" w:eastAsiaTheme="minorHAnsi" w:hAnsi="Bookman Old Style"/>
          <w:i/>
          <w:sz w:val="14"/>
          <w:szCs w:val="14"/>
          <w:lang w:val="en-US" w:eastAsia="en-US"/>
        </w:rPr>
        <w:footnoteRef/>
      </w:r>
      <w:r w:rsidRPr="00EE71AD">
        <w:rPr>
          <w:rFonts w:ascii="Bookman Old Style" w:eastAsiaTheme="minorHAnsi" w:hAnsi="Bookman Old Style"/>
          <w:i/>
          <w:sz w:val="14"/>
          <w:szCs w:val="14"/>
          <w:lang w:eastAsia="en-US"/>
        </w:rPr>
        <w:t xml:space="preserve"> https://www.unodc.org/documents/commissions/CND/CND_Sessions/CND_63/Statements63_02.03.2020/Country_03.03.2020/Canada.pdf</w:t>
      </w:r>
    </w:p>
  </w:footnote>
  <w:footnote w:id="76">
    <w:p w:rsidR="00286A0B" w:rsidRPr="00EE71AD" w:rsidRDefault="00286A0B" w:rsidP="007E2A01">
      <w:pPr>
        <w:jc w:val="both"/>
        <w:rPr>
          <w:rFonts w:ascii="Bookman Old Style" w:eastAsiaTheme="minorHAnsi" w:hAnsi="Bookman Old Style"/>
          <w:i/>
          <w:sz w:val="14"/>
          <w:szCs w:val="14"/>
          <w:lang w:eastAsia="en-US"/>
        </w:rPr>
      </w:pPr>
      <w:r w:rsidRPr="00EE71AD">
        <w:rPr>
          <w:rFonts w:ascii="Bookman Old Style" w:eastAsiaTheme="minorHAnsi" w:hAnsi="Bookman Old Style"/>
          <w:i/>
          <w:sz w:val="14"/>
          <w:szCs w:val="14"/>
          <w:lang w:val="en-US" w:eastAsia="en-US"/>
        </w:rPr>
        <w:footnoteRef/>
      </w:r>
      <w:r w:rsidRPr="00EE71AD">
        <w:rPr>
          <w:rFonts w:ascii="Bookman Old Style" w:eastAsiaTheme="minorHAnsi" w:hAnsi="Bookman Old Style"/>
          <w:i/>
          <w:sz w:val="14"/>
          <w:szCs w:val="14"/>
          <w:lang w:val="en-US" w:eastAsia="en-US"/>
        </w:rPr>
        <w:t xml:space="preserve"> Ta M, Greto L, Bolt K. Trends and Characteristics in Marijuana Use Among Public School Students — King County, Washington, 2004–2016. </w:t>
      </w:r>
      <w:r w:rsidRPr="00EE71AD">
        <w:rPr>
          <w:rFonts w:ascii="Bookman Old Style" w:eastAsiaTheme="minorHAnsi" w:hAnsi="Bookman Old Style"/>
          <w:i/>
          <w:sz w:val="14"/>
          <w:szCs w:val="14"/>
          <w:lang w:eastAsia="en-US"/>
        </w:rPr>
        <w:t xml:space="preserve">MMWR Morb Mortal Wkly Rep 2019;68:845–850.Obtenido de: </w:t>
      </w:r>
      <w:hyperlink r:id="rId3" w:anchor="suggestedcitation" w:history="1">
        <w:r w:rsidRPr="00EE71AD">
          <w:rPr>
            <w:rFonts w:ascii="Bookman Old Style" w:eastAsiaTheme="minorHAnsi" w:hAnsi="Bookman Old Style"/>
            <w:i/>
            <w:sz w:val="14"/>
            <w:szCs w:val="14"/>
            <w:lang w:eastAsia="en-US"/>
          </w:rPr>
          <w:t>https://www.cdc.gov/mmwr/volumes/68/wr/mm6839a3.htm?s_cid=mm6839a3_w#suggestedcitation</w:t>
        </w:r>
      </w:hyperlink>
      <w:r w:rsidRPr="00EE71AD">
        <w:rPr>
          <w:rFonts w:ascii="Bookman Old Style" w:eastAsiaTheme="minorHAnsi" w:hAnsi="Bookman Old Style"/>
          <w:i/>
          <w:sz w:val="14"/>
          <w:szCs w:val="14"/>
          <w:lang w:eastAsia="en-US"/>
        </w:rPr>
        <w:t> </w:t>
      </w:r>
    </w:p>
  </w:footnote>
  <w:footnote w:id="77">
    <w:p w:rsidR="00286A0B" w:rsidRPr="00EE71AD" w:rsidRDefault="00286A0B" w:rsidP="007E2A01">
      <w:pPr>
        <w:jc w:val="both"/>
        <w:rPr>
          <w:rFonts w:ascii="Bookman Old Style" w:eastAsiaTheme="minorHAnsi" w:hAnsi="Bookman Old Style"/>
          <w:i/>
          <w:sz w:val="14"/>
          <w:szCs w:val="14"/>
          <w:lang w:eastAsia="en-US"/>
        </w:rPr>
      </w:pPr>
      <w:r w:rsidRPr="00EE71AD">
        <w:rPr>
          <w:rFonts w:ascii="Bookman Old Style" w:eastAsiaTheme="minorHAnsi" w:hAnsi="Bookman Old Style"/>
          <w:i/>
          <w:sz w:val="14"/>
          <w:szCs w:val="14"/>
          <w:lang w:val="en-US" w:eastAsia="en-US"/>
        </w:rPr>
        <w:footnoteRef/>
      </w:r>
      <w:r w:rsidRPr="00EE71AD">
        <w:rPr>
          <w:rFonts w:ascii="Bookman Old Style" w:eastAsiaTheme="minorHAnsi" w:hAnsi="Bookman Old Style"/>
          <w:i/>
          <w:sz w:val="14"/>
          <w:szCs w:val="14"/>
          <w:lang w:eastAsia="en-US"/>
        </w:rPr>
        <w:t xml:space="preserve"> FIP. Nueve preguntas sobre marihuana medicinal. Obtenido de: https://www.ideaspaz.org/especiales/marihuana-medicinal/</w:t>
      </w:r>
    </w:p>
  </w:footnote>
  <w:footnote w:id="78">
    <w:p w:rsidR="00286A0B" w:rsidRPr="003702B6" w:rsidRDefault="00286A0B" w:rsidP="007E2A01">
      <w:pPr>
        <w:jc w:val="both"/>
        <w:rPr>
          <w:rFonts w:eastAsiaTheme="minorHAnsi"/>
          <w:i/>
          <w:sz w:val="14"/>
          <w:szCs w:val="14"/>
          <w:lang w:eastAsia="en-US"/>
        </w:rPr>
      </w:pPr>
      <w:r w:rsidRPr="00EE71AD">
        <w:rPr>
          <w:rFonts w:ascii="Bookman Old Style" w:eastAsiaTheme="minorHAnsi" w:hAnsi="Bookman Old Style"/>
          <w:i/>
          <w:sz w:val="14"/>
          <w:szCs w:val="14"/>
          <w:lang w:val="en-US" w:eastAsia="en-US"/>
        </w:rPr>
        <w:footnoteRef/>
      </w:r>
      <w:r w:rsidRPr="00EE71AD">
        <w:rPr>
          <w:rFonts w:ascii="Bookman Old Style" w:eastAsiaTheme="minorHAnsi" w:hAnsi="Bookman Old Style"/>
          <w:i/>
          <w:sz w:val="14"/>
          <w:szCs w:val="14"/>
          <w:lang w:eastAsia="en-US"/>
        </w:rPr>
        <w:t xml:space="preserve">  Colombian Check (2020). Obtenido de: https://colombiacheck.com/chequeos/miranda-compartio-viejo-meme-chileno-con-cifras-sin-fuente-favor-del-cannabis</w:t>
      </w:r>
    </w:p>
  </w:footnote>
  <w:footnote w:id="79">
    <w:p w:rsidR="00286A0B" w:rsidRPr="00EE71AD" w:rsidRDefault="00286A0B" w:rsidP="007E2A01">
      <w:pPr>
        <w:jc w:val="both"/>
        <w:rPr>
          <w:rFonts w:ascii="Bookman Old Style" w:hAnsi="Bookman Old Style"/>
          <w:i/>
          <w:sz w:val="14"/>
          <w:szCs w:val="14"/>
        </w:rPr>
      </w:pPr>
      <w:r w:rsidRPr="00EE71AD">
        <w:rPr>
          <w:rFonts w:ascii="Bookman Old Style" w:eastAsiaTheme="minorHAnsi" w:hAnsi="Bookman Old Style"/>
          <w:i/>
          <w:sz w:val="14"/>
          <w:szCs w:val="14"/>
          <w:lang w:val="en-US" w:eastAsia="en-US"/>
        </w:rPr>
        <w:footnoteRef/>
      </w:r>
      <w:r w:rsidRPr="00EE71AD">
        <w:rPr>
          <w:rFonts w:ascii="Bookman Old Style" w:eastAsiaTheme="minorHAnsi" w:hAnsi="Bookman Old Style"/>
          <w:i/>
          <w:sz w:val="14"/>
          <w:szCs w:val="14"/>
          <w:lang w:val="en-US" w:eastAsia="en-US"/>
        </w:rPr>
        <w:t xml:space="preserve">  Denson, TF, Blundell,</w:t>
      </w:r>
      <w:r w:rsidRPr="00EE71AD">
        <w:rPr>
          <w:rFonts w:ascii="Bookman Old Style" w:hAnsi="Bookman Old Style"/>
          <w:i/>
          <w:sz w:val="14"/>
          <w:szCs w:val="14"/>
          <w:lang w:val="en-US" w:eastAsia="en-US"/>
        </w:rPr>
        <w:t xml:space="preserve"> KA, Schofield, TP y col. </w:t>
      </w:r>
      <w:r w:rsidRPr="00EE71AD">
        <w:rPr>
          <w:rFonts w:ascii="Bookman Old Style" w:hAnsi="Bookman Old Style"/>
          <w:i/>
          <w:sz w:val="14"/>
          <w:szCs w:val="14"/>
          <w:lang w:eastAsia="en-US"/>
        </w:rPr>
        <w:t>Los correlatos neurales de la agresión relacionada con el alcohol. Cogn Affect Behav Neurosci 18, 203–215 (2018).https://doi.org/10.3758/s13415-017-0558-0</w:t>
      </w:r>
    </w:p>
  </w:footnote>
  <w:footnote w:id="80">
    <w:p w:rsidR="00286A0B" w:rsidRPr="00EE71AD" w:rsidRDefault="00286A0B" w:rsidP="007E2A01">
      <w:pPr>
        <w:pStyle w:val="Textonotapie"/>
        <w:jc w:val="both"/>
        <w:rPr>
          <w:rFonts w:ascii="Bookman Old Style" w:hAnsi="Bookman Old Style" w:cs="Times New Roman"/>
          <w:sz w:val="14"/>
          <w:szCs w:val="14"/>
        </w:rPr>
      </w:pPr>
      <w:r w:rsidRPr="00EE71AD">
        <w:rPr>
          <w:rFonts w:ascii="Bookman Old Style" w:hAnsi="Bookman Old Style" w:cs="Times New Roman"/>
          <w:i/>
          <w:sz w:val="14"/>
          <w:szCs w:val="14"/>
        </w:rPr>
        <w:footnoteRef/>
      </w:r>
      <w:r w:rsidRPr="00EE71AD">
        <w:rPr>
          <w:rFonts w:ascii="Bookman Old Style" w:hAnsi="Bookman Old Style" w:cs="Times New Roman"/>
          <w:i/>
          <w:sz w:val="14"/>
          <w:szCs w:val="14"/>
        </w:rPr>
        <w:t xml:space="preserve"> Corte Constitucional, Sentencia C-221 de 1994. M.P. Carlos Gaviria Díaz.</w:t>
      </w:r>
    </w:p>
  </w:footnote>
  <w:footnote w:id="81">
    <w:p w:rsidR="00286A0B" w:rsidRPr="00EE71AD" w:rsidRDefault="00286A0B" w:rsidP="007E2A01">
      <w:pPr>
        <w:pStyle w:val="Textonotapie"/>
        <w:jc w:val="both"/>
        <w:rPr>
          <w:rFonts w:ascii="Bookman Old Style" w:hAnsi="Bookman Old Style" w:cs="Times New Roman"/>
          <w:sz w:val="14"/>
          <w:szCs w:val="14"/>
        </w:rPr>
      </w:pPr>
      <w:r w:rsidRPr="00EE71AD">
        <w:rPr>
          <w:rStyle w:val="Refdenotaalpie"/>
          <w:rFonts w:ascii="Bookman Old Style" w:hAnsi="Bookman Old Style"/>
          <w:i/>
          <w:iCs/>
          <w:sz w:val="14"/>
          <w:szCs w:val="14"/>
        </w:rPr>
        <w:footnoteRef/>
      </w:r>
      <w:r w:rsidRPr="00EE71AD">
        <w:rPr>
          <w:rFonts w:ascii="Bookman Old Style" w:hAnsi="Bookman Old Style" w:cs="Times New Roman"/>
          <w:i/>
          <w:iCs/>
          <w:sz w:val="14"/>
          <w:szCs w:val="14"/>
        </w:rPr>
        <w:t xml:space="preserve"> </w:t>
      </w:r>
      <w:r w:rsidRPr="00EE71AD">
        <w:rPr>
          <w:rFonts w:ascii="Bookman Old Style" w:hAnsi="Bookman Old Style" w:cs="Times New Roman"/>
          <w:i/>
          <w:iCs/>
          <w:sz w:val="14"/>
          <w:szCs w:val="14"/>
          <w:lang w:val="es-ES_tradnl"/>
        </w:rPr>
        <w:t>“</w:t>
      </w:r>
      <w:r w:rsidRPr="00EE71AD">
        <w:rPr>
          <w:rFonts w:ascii="Bookman Old Style" w:hAnsi="Bookman Old Style" w:cs="Times New Roman"/>
          <w:i/>
          <w:sz w:val="14"/>
          <w:szCs w:val="14"/>
          <w:lang w:val="es-ES_tradnl"/>
        </w:rPr>
        <w:t>Por la cual se dictan normas para garantizar la atención integral a personas que consumen sustancias psicoactivas y se crea el premio nacional "entidad comprometida con la prevención del consumo, abuso y adicción a sustancias psicoactivas"</w:t>
      </w:r>
      <w:r w:rsidRPr="00EE71AD">
        <w:rPr>
          <w:rFonts w:ascii="Bookman Old Style" w:hAnsi="Bookman Old Style" w:cs="Times New Roman"/>
          <w:sz w:val="14"/>
          <w:szCs w:val="14"/>
          <w:lang w:val="es-ES_tradnl"/>
        </w:rPr>
        <w:t xml:space="preserve">, la cual indica en su Artículo 2 que </w:t>
      </w:r>
      <w:r w:rsidRPr="00EE71AD">
        <w:rPr>
          <w:rFonts w:ascii="Bookman Old Style" w:hAnsi="Bookman Old Style" w:cs="Times New Roman"/>
          <w:i/>
          <w:sz w:val="14"/>
          <w:szCs w:val="14"/>
          <w:lang w:val="es-ES_tradnl"/>
        </w:rPr>
        <w:t>“toda persona que sufra trastornos mentales o cualquier otra patología derivada del consumo, abuso y adicción a sustancias psicoactivas lícitas o ilícitas, tendrá derecho a ser atendida en forma integral por las entidades que conforman el Sistema General de Seguridad Social en Salud y las instituciones públicas o privadas especializadas para el tratamiento de dichos trastornos”</w:t>
      </w:r>
    </w:p>
  </w:footnote>
  <w:footnote w:id="82">
    <w:p w:rsidR="00286A0B" w:rsidRPr="00987C6B" w:rsidRDefault="00286A0B" w:rsidP="007E2A01">
      <w:pPr>
        <w:pStyle w:val="Textonotapie"/>
        <w:jc w:val="both"/>
        <w:rPr>
          <w:rFonts w:ascii="Times New Roman" w:hAnsi="Times New Roman" w:cs="Times New Roman"/>
          <w:i/>
          <w:sz w:val="14"/>
          <w:szCs w:val="14"/>
        </w:rPr>
      </w:pPr>
      <w:r w:rsidRPr="00EE71AD">
        <w:rPr>
          <w:rStyle w:val="Refdenotaalpie"/>
          <w:rFonts w:ascii="Bookman Old Style" w:hAnsi="Bookman Old Style"/>
          <w:i/>
          <w:sz w:val="14"/>
          <w:szCs w:val="14"/>
        </w:rPr>
        <w:footnoteRef/>
      </w:r>
      <w:r w:rsidRPr="00EE71AD">
        <w:rPr>
          <w:rFonts w:ascii="Bookman Old Style" w:hAnsi="Bookman Old Style" w:cs="Times New Roman"/>
          <w:i/>
          <w:sz w:val="14"/>
          <w:szCs w:val="14"/>
        </w:rPr>
        <w:t xml:space="preserve"> Dejusticia, “Comentarios borrador de decreto por medio del cual se adiciona el capítulo 9 del título 8 de la parte 2 del libro 2 del Decreto 1070 de 2015, "Decreto Único Reglamentario del Sector Administrativo de Defensa", para reglamentar parcialmente el Código Nacional de Policía y Convivencia, en lo referente a la prohibición de poseer, tener, entregar, distribuir o comercializar drogas o sustancias prohibidas” 2018.</w:t>
      </w:r>
    </w:p>
  </w:footnote>
  <w:footnote w:id="83">
    <w:p w:rsidR="00286A0B" w:rsidRPr="00EE71AD" w:rsidRDefault="00286A0B" w:rsidP="007E2A01">
      <w:pPr>
        <w:pStyle w:val="Textonotapie"/>
        <w:jc w:val="both"/>
        <w:rPr>
          <w:rFonts w:ascii="Bookman Old Style" w:hAnsi="Bookman Old Style" w:cs="Times New Roman"/>
          <w:i/>
          <w:sz w:val="14"/>
          <w:szCs w:val="14"/>
        </w:rPr>
      </w:pPr>
      <w:r w:rsidRPr="00EE71AD">
        <w:rPr>
          <w:rStyle w:val="Refdenotaalpie"/>
          <w:rFonts w:ascii="Bookman Old Style" w:hAnsi="Bookman Old Style"/>
          <w:i/>
          <w:sz w:val="14"/>
          <w:szCs w:val="14"/>
        </w:rPr>
        <w:footnoteRef/>
      </w:r>
      <w:r w:rsidRPr="00EE71AD">
        <w:rPr>
          <w:rFonts w:ascii="Bookman Old Style" w:hAnsi="Bookman Old Style" w:cs="Times New Roman"/>
          <w:i/>
          <w:sz w:val="14"/>
          <w:szCs w:val="14"/>
        </w:rPr>
        <w:t xml:space="preserve"> </w:t>
      </w:r>
      <w:r w:rsidRPr="00EE71AD">
        <w:rPr>
          <w:rFonts w:ascii="Bookman Old Style" w:eastAsia="Calibri" w:hAnsi="Bookman Old Style" w:cs="Times New Roman"/>
          <w:i/>
          <w:sz w:val="14"/>
          <w:szCs w:val="14"/>
        </w:rPr>
        <w:t>Medina-Mora, Real, Villatoro, &amp; Natera, “Las drogas y la salud pública: ¿hacia dónde vamos?”, 2013; página 68</w:t>
      </w:r>
    </w:p>
  </w:footnote>
  <w:footnote w:id="84">
    <w:p w:rsidR="00286A0B" w:rsidRPr="00EE71AD" w:rsidRDefault="00286A0B" w:rsidP="007E2A01">
      <w:pPr>
        <w:pStyle w:val="Textonotapie"/>
        <w:jc w:val="both"/>
        <w:rPr>
          <w:rFonts w:ascii="Bookman Old Style" w:hAnsi="Bookman Old Style" w:cs="Times New Roman"/>
          <w:sz w:val="14"/>
          <w:szCs w:val="14"/>
        </w:rPr>
      </w:pPr>
      <w:r w:rsidRPr="00EE71AD">
        <w:rPr>
          <w:rStyle w:val="Refdenotaalpie"/>
          <w:rFonts w:ascii="Bookman Old Style" w:hAnsi="Bookman Old Style"/>
          <w:i/>
          <w:sz w:val="14"/>
          <w:szCs w:val="14"/>
        </w:rPr>
        <w:footnoteRef/>
      </w:r>
      <w:r w:rsidRPr="00EE71AD">
        <w:rPr>
          <w:rFonts w:ascii="Bookman Old Style" w:hAnsi="Bookman Old Style" w:cs="Times New Roman"/>
          <w:i/>
          <w:sz w:val="14"/>
          <w:szCs w:val="14"/>
        </w:rPr>
        <w:t xml:space="preserve"> </w:t>
      </w:r>
      <w:r w:rsidRPr="00EE71AD">
        <w:rPr>
          <w:rFonts w:ascii="Bookman Old Style" w:eastAsia="Calibri" w:hAnsi="Bookman Old Style" w:cs="Times New Roman"/>
          <w:i/>
          <w:sz w:val="14"/>
          <w:szCs w:val="14"/>
        </w:rPr>
        <w:t>Ministerio de Salud, Dirección de Promoción y prevención,” El consumo de SPA en Colombia” 2015.</w:t>
      </w:r>
    </w:p>
  </w:footnote>
  <w:footnote w:id="85">
    <w:p w:rsidR="00286A0B" w:rsidRPr="00EC7C59" w:rsidRDefault="00286A0B" w:rsidP="007E2A01">
      <w:pPr>
        <w:jc w:val="both"/>
        <w:rPr>
          <w:rFonts w:eastAsia="Calibri"/>
          <w:i/>
          <w:sz w:val="16"/>
          <w:szCs w:val="16"/>
        </w:rPr>
      </w:pPr>
      <w:r w:rsidRPr="00EE71AD">
        <w:rPr>
          <w:rStyle w:val="Refdenotaalpie"/>
          <w:rFonts w:ascii="Bookman Old Style" w:hAnsi="Bookman Old Style"/>
          <w:i/>
          <w:sz w:val="14"/>
          <w:szCs w:val="14"/>
        </w:rPr>
        <w:footnoteRef/>
      </w:r>
      <w:r w:rsidRPr="00EE71AD">
        <w:rPr>
          <w:rFonts w:ascii="Bookman Old Style" w:hAnsi="Bookman Old Style"/>
          <w:i/>
          <w:sz w:val="14"/>
          <w:szCs w:val="14"/>
        </w:rPr>
        <w:t xml:space="preserve"> Rodrigo Uprimny, “Una oportunidad perdida”, Dejusticia. 2019</w:t>
      </w:r>
    </w:p>
  </w:footnote>
  <w:footnote w:id="86">
    <w:p w:rsidR="00286A0B" w:rsidRPr="00EE71AD" w:rsidRDefault="00286A0B" w:rsidP="007E2A01">
      <w:pPr>
        <w:pStyle w:val="Textonotapie"/>
        <w:jc w:val="both"/>
        <w:rPr>
          <w:rFonts w:ascii="Bookman Old Style" w:hAnsi="Bookman Old Style" w:cs="Times New Roman"/>
          <w:sz w:val="14"/>
          <w:szCs w:val="14"/>
        </w:rPr>
      </w:pPr>
      <w:r w:rsidRPr="00EE71AD">
        <w:rPr>
          <w:rStyle w:val="Refdenotaalpie"/>
          <w:rFonts w:ascii="Bookman Old Style" w:hAnsi="Bookman Old Style"/>
          <w:sz w:val="14"/>
          <w:szCs w:val="14"/>
        </w:rPr>
        <w:footnoteRef/>
      </w:r>
      <w:r w:rsidRPr="00EE71AD">
        <w:rPr>
          <w:rFonts w:ascii="Bookman Old Style" w:hAnsi="Bookman Old Style" w:cs="Times New Roman"/>
          <w:sz w:val="14"/>
          <w:szCs w:val="14"/>
        </w:rPr>
        <w:t xml:space="preserve"> </w:t>
      </w:r>
      <w:r w:rsidRPr="00EE71AD">
        <w:rPr>
          <w:rFonts w:ascii="Bookman Old Style" w:hAnsi="Bookman Old Style" w:cs="Times New Roman"/>
          <w:i/>
          <w:sz w:val="14"/>
          <w:szCs w:val="14"/>
        </w:rPr>
        <w:t>British Broadcasting Corporation BBC Cuáles son las sustancias más adictivas del mundo y qué le hacen a nuestro cerebro, recuperado de https://www.bbc.com/mundo/noticias-46877409</w:t>
      </w:r>
    </w:p>
  </w:footnote>
  <w:footnote w:id="87">
    <w:p w:rsidR="00286A0B" w:rsidRPr="00EE71AD" w:rsidRDefault="00286A0B" w:rsidP="007E2A01">
      <w:pPr>
        <w:pStyle w:val="Textonotapie"/>
        <w:jc w:val="both"/>
        <w:rPr>
          <w:rFonts w:ascii="Bookman Old Style" w:hAnsi="Bookman Old Style" w:cs="Times New Roman"/>
          <w:sz w:val="14"/>
          <w:szCs w:val="14"/>
        </w:rPr>
      </w:pPr>
      <w:r w:rsidRPr="00EE71AD">
        <w:rPr>
          <w:rStyle w:val="Refdenotaalpie"/>
          <w:rFonts w:ascii="Bookman Old Style" w:hAnsi="Bookman Old Style"/>
          <w:sz w:val="14"/>
          <w:szCs w:val="14"/>
        </w:rPr>
        <w:footnoteRef/>
      </w:r>
      <w:r w:rsidRPr="00EE71AD">
        <w:rPr>
          <w:rFonts w:ascii="Bookman Old Style" w:hAnsi="Bookman Old Style" w:cs="Times New Roman"/>
          <w:sz w:val="14"/>
          <w:szCs w:val="14"/>
        </w:rPr>
        <w:t xml:space="preserve"> </w:t>
      </w:r>
      <w:r w:rsidRPr="00EE71AD">
        <w:rPr>
          <w:rFonts w:ascii="Bookman Old Style" w:hAnsi="Bookman Old Style" w:cs="Times New Roman"/>
          <w:i/>
          <w:sz w:val="14"/>
          <w:szCs w:val="14"/>
        </w:rPr>
        <w:t>Cesar Augusto Giraldo Giraldo, Medicina Forense, 2009.</w:t>
      </w:r>
    </w:p>
  </w:footnote>
  <w:footnote w:id="88">
    <w:p w:rsidR="00286A0B" w:rsidRPr="00EE71AD" w:rsidRDefault="00286A0B" w:rsidP="007E2A01">
      <w:pPr>
        <w:pStyle w:val="Textonotapie"/>
        <w:jc w:val="both"/>
        <w:rPr>
          <w:rFonts w:ascii="Bookman Old Style" w:hAnsi="Bookman Old Style" w:cs="Times New Roman"/>
          <w:sz w:val="14"/>
          <w:szCs w:val="14"/>
        </w:rPr>
      </w:pPr>
      <w:r w:rsidRPr="00EE71AD">
        <w:rPr>
          <w:rStyle w:val="Refdenotaalpie"/>
          <w:rFonts w:ascii="Bookman Old Style" w:hAnsi="Bookman Old Style"/>
          <w:sz w:val="14"/>
          <w:szCs w:val="14"/>
        </w:rPr>
        <w:footnoteRef/>
      </w:r>
      <w:r w:rsidRPr="00EE71AD">
        <w:rPr>
          <w:rFonts w:ascii="Bookman Old Style" w:hAnsi="Bookman Old Style" w:cs="Times New Roman"/>
          <w:sz w:val="14"/>
          <w:szCs w:val="14"/>
          <w:lang w:val="en-US"/>
        </w:rPr>
        <w:t xml:space="preserve"> </w:t>
      </w:r>
      <w:r w:rsidRPr="00EE71AD">
        <w:rPr>
          <w:rFonts w:ascii="Bookman Old Style" w:hAnsi="Bookman Old Style" w:cs="Times New Roman"/>
          <w:i/>
          <w:sz w:val="14"/>
          <w:szCs w:val="14"/>
          <w:lang w:val="en-US"/>
        </w:rPr>
        <w:t xml:space="preserve">Leslie King and Lawrence Phillips. “Drug harms in the UK: a multicriteria decision analysis”. </w:t>
      </w:r>
      <w:r w:rsidRPr="00EE71AD">
        <w:rPr>
          <w:rFonts w:ascii="Bookman Old Style" w:hAnsi="Bookman Old Style" w:cs="Times New Roman"/>
          <w:i/>
          <w:sz w:val="14"/>
          <w:szCs w:val="14"/>
        </w:rPr>
        <w:t>David Nutt. The Lancet, 2010.</w:t>
      </w:r>
    </w:p>
  </w:footnote>
  <w:footnote w:id="89">
    <w:p w:rsidR="00286A0B" w:rsidRPr="00EE71AD" w:rsidRDefault="00286A0B" w:rsidP="007E2A01">
      <w:pPr>
        <w:pStyle w:val="Textonotapie"/>
        <w:jc w:val="both"/>
        <w:rPr>
          <w:rFonts w:ascii="Bookman Old Style" w:hAnsi="Bookman Old Style" w:cs="Times New Roman"/>
          <w:sz w:val="14"/>
          <w:szCs w:val="14"/>
        </w:rPr>
      </w:pPr>
      <w:r w:rsidRPr="00EE71AD">
        <w:rPr>
          <w:rStyle w:val="Refdenotaalpie"/>
          <w:rFonts w:ascii="Bookman Old Style" w:hAnsi="Bookman Old Style"/>
          <w:sz w:val="14"/>
          <w:szCs w:val="14"/>
        </w:rPr>
        <w:footnoteRef/>
      </w:r>
      <w:r w:rsidRPr="00EE71AD">
        <w:rPr>
          <w:rFonts w:ascii="Bookman Old Style" w:hAnsi="Bookman Old Style" w:cs="Times New Roman"/>
          <w:sz w:val="14"/>
          <w:szCs w:val="14"/>
        </w:rPr>
        <w:t xml:space="preserve"> </w:t>
      </w:r>
      <w:r w:rsidRPr="00EE71AD">
        <w:rPr>
          <w:rFonts w:ascii="Bookman Old Style" w:hAnsi="Bookman Old Style" w:cs="Times New Roman"/>
          <w:i/>
          <w:sz w:val="14"/>
          <w:szCs w:val="14"/>
        </w:rPr>
        <w:t>Cesar Augusto Giraldo Giraldo, Medicina Forense, 2009.</w:t>
      </w:r>
    </w:p>
  </w:footnote>
  <w:footnote w:id="90">
    <w:p w:rsidR="00286A0B" w:rsidRPr="00EE71AD" w:rsidRDefault="00286A0B" w:rsidP="007E2A01">
      <w:pPr>
        <w:pStyle w:val="Textonotapie"/>
        <w:jc w:val="both"/>
        <w:rPr>
          <w:rFonts w:ascii="Bookman Old Style" w:hAnsi="Bookman Old Style" w:cs="Times New Roman"/>
          <w:sz w:val="14"/>
          <w:szCs w:val="14"/>
        </w:rPr>
      </w:pPr>
      <w:r w:rsidRPr="00EE71AD">
        <w:rPr>
          <w:rStyle w:val="Refdenotaalpie"/>
          <w:rFonts w:ascii="Bookman Old Style" w:hAnsi="Bookman Old Style"/>
          <w:sz w:val="14"/>
          <w:szCs w:val="14"/>
        </w:rPr>
        <w:footnoteRef/>
      </w:r>
      <w:r w:rsidRPr="00EE71AD">
        <w:rPr>
          <w:rFonts w:ascii="Bookman Old Style" w:hAnsi="Bookman Old Style" w:cs="Times New Roman"/>
          <w:sz w:val="14"/>
          <w:szCs w:val="14"/>
        </w:rPr>
        <w:t xml:space="preserve"> </w:t>
      </w:r>
      <w:r w:rsidRPr="00EE71AD">
        <w:rPr>
          <w:rFonts w:ascii="Bookman Old Style" w:hAnsi="Bookman Old Style" w:cs="Times New Roman"/>
          <w:i/>
          <w:sz w:val="14"/>
          <w:szCs w:val="14"/>
        </w:rPr>
        <w:t>Cesar Augusto Giraldo Giraldo, Medicina Forense, 2009.</w:t>
      </w:r>
    </w:p>
  </w:footnote>
  <w:footnote w:id="91">
    <w:p w:rsidR="00286A0B" w:rsidRPr="00EE71AD" w:rsidRDefault="00286A0B" w:rsidP="007E2A01">
      <w:pPr>
        <w:pStyle w:val="Textonotapie"/>
        <w:jc w:val="both"/>
        <w:rPr>
          <w:rFonts w:ascii="Bookman Old Style" w:hAnsi="Bookman Old Style"/>
          <w:sz w:val="14"/>
          <w:szCs w:val="14"/>
          <w:lang w:val="en-US"/>
        </w:rPr>
      </w:pPr>
      <w:r w:rsidRPr="00EE71AD">
        <w:rPr>
          <w:rStyle w:val="Refdenotaalpie"/>
          <w:rFonts w:ascii="Bookman Old Style" w:hAnsi="Bookman Old Style"/>
          <w:sz w:val="14"/>
          <w:szCs w:val="14"/>
        </w:rPr>
        <w:footnoteRef/>
      </w:r>
      <w:r w:rsidRPr="00EE71AD">
        <w:rPr>
          <w:rFonts w:ascii="Bookman Old Style" w:hAnsi="Bookman Old Style"/>
          <w:sz w:val="14"/>
          <w:szCs w:val="14"/>
          <w:lang w:val="en-US"/>
        </w:rPr>
        <w:t xml:space="preserve"> </w:t>
      </w:r>
      <w:r w:rsidRPr="00EE71AD">
        <w:rPr>
          <w:rFonts w:ascii="Bookman Old Style" w:hAnsi="Bookman Old Style" w:cs="Times New Roman"/>
          <w:i/>
          <w:sz w:val="14"/>
          <w:szCs w:val="14"/>
          <w:lang w:val="en-US"/>
        </w:rPr>
        <w:t>Marel, C., Sunderland, M., Mills, K. L., Slade, T., Teesson, M., &amp; Chapman, C. (2019). Conditional probabilities of substance use disorders and associated risk factors: Progression from first use to use disorder on alcohol, cannabis, stimulants, sedatives and opioids. Drug and alcohol dependence, 194, 136–142. https://doi.org/10.1016/j.drugalcdep.2018.10.010</w:t>
      </w:r>
    </w:p>
  </w:footnote>
  <w:footnote w:id="92">
    <w:p w:rsidR="00286A0B" w:rsidRPr="003702B6" w:rsidRDefault="00286A0B" w:rsidP="007E2A01">
      <w:pPr>
        <w:pStyle w:val="Textonotapie"/>
        <w:jc w:val="both"/>
        <w:rPr>
          <w:rFonts w:ascii="Times New Roman" w:hAnsi="Times New Roman" w:cs="Times New Roman"/>
          <w:sz w:val="14"/>
          <w:szCs w:val="14"/>
          <w:lang w:val="en-US"/>
        </w:rPr>
      </w:pPr>
      <w:r w:rsidRPr="00EE71AD">
        <w:rPr>
          <w:rStyle w:val="Refdenotaalpie"/>
          <w:rFonts w:ascii="Bookman Old Style" w:hAnsi="Bookman Old Style"/>
          <w:sz w:val="14"/>
          <w:szCs w:val="14"/>
        </w:rPr>
        <w:footnoteRef/>
      </w:r>
      <w:r w:rsidRPr="00EE71AD">
        <w:rPr>
          <w:rFonts w:ascii="Bookman Old Style" w:hAnsi="Bookman Old Style" w:cs="Times New Roman"/>
          <w:sz w:val="14"/>
          <w:szCs w:val="14"/>
          <w:lang w:val="en-US"/>
        </w:rPr>
        <w:t xml:space="preserve"> </w:t>
      </w:r>
      <w:r w:rsidRPr="00EE71AD">
        <w:rPr>
          <w:rFonts w:ascii="Bookman Old Style" w:hAnsi="Bookman Old Style" w:cs="Times New Roman"/>
          <w:i/>
          <w:sz w:val="14"/>
          <w:szCs w:val="14"/>
          <w:lang w:val="en-US"/>
        </w:rPr>
        <w:t>Cesar Augusto Giraldo Giraldo, Medicina Forense, 2009.</w:t>
      </w:r>
    </w:p>
  </w:footnote>
  <w:footnote w:id="93">
    <w:p w:rsidR="00286A0B" w:rsidRPr="00EE71AD" w:rsidRDefault="00286A0B" w:rsidP="007E2A01">
      <w:pPr>
        <w:pStyle w:val="Textonotapie"/>
        <w:jc w:val="both"/>
        <w:rPr>
          <w:rFonts w:ascii="Bookman Old Style" w:hAnsi="Bookman Old Style" w:cs="Times New Roman"/>
          <w:i/>
          <w:sz w:val="14"/>
          <w:szCs w:val="14"/>
        </w:rPr>
      </w:pPr>
      <w:r w:rsidRPr="00EE71AD">
        <w:rPr>
          <w:rStyle w:val="Refdenotaalpie"/>
          <w:rFonts w:ascii="Bookman Old Style" w:hAnsi="Bookman Old Style"/>
          <w:i/>
          <w:sz w:val="14"/>
          <w:szCs w:val="14"/>
        </w:rPr>
        <w:footnoteRef/>
      </w:r>
      <w:r w:rsidRPr="00EE71AD">
        <w:rPr>
          <w:rFonts w:ascii="Bookman Old Style" w:hAnsi="Bookman Old Style" w:cs="Times New Roman"/>
          <w:i/>
          <w:sz w:val="14"/>
          <w:szCs w:val="14"/>
          <w:lang w:val="en-US"/>
        </w:rPr>
        <w:t xml:space="preserve"> German Lopez. </w:t>
      </w:r>
      <w:hyperlink r:id="rId4" w:tgtFrame="_blank" w:history="1">
        <w:r w:rsidRPr="004D2009">
          <w:rPr>
            <w:rFonts w:ascii="Bookman Old Style" w:hAnsi="Bookman Old Style" w:cs="Times New Roman"/>
            <w:i/>
            <w:sz w:val="14"/>
            <w:szCs w:val="14"/>
            <w:lang w:val="en-US"/>
          </w:rPr>
          <w:t xml:space="preserve">The three deathliest drugs in America. </w:t>
        </w:r>
        <w:r w:rsidRPr="00EE71AD">
          <w:rPr>
            <w:rFonts w:ascii="Bookman Old Style" w:hAnsi="Bookman Old Style" w:cs="Times New Roman"/>
            <w:i/>
            <w:sz w:val="14"/>
            <w:szCs w:val="14"/>
          </w:rPr>
          <w:t>Vox 2017</w:t>
        </w:r>
      </w:hyperlink>
      <w:r w:rsidRPr="00EE71AD">
        <w:rPr>
          <w:rFonts w:ascii="Bookman Old Style" w:hAnsi="Bookman Old Style" w:cs="Times New Roman"/>
          <w:i/>
          <w:sz w:val="14"/>
          <w:szCs w:val="14"/>
        </w:rPr>
        <w:t>.</w:t>
      </w:r>
    </w:p>
  </w:footnote>
  <w:footnote w:id="94">
    <w:p w:rsidR="00286A0B" w:rsidRPr="00EE71AD" w:rsidRDefault="00286A0B" w:rsidP="007E2A01">
      <w:pPr>
        <w:pStyle w:val="Textonotapie"/>
        <w:jc w:val="both"/>
        <w:rPr>
          <w:rFonts w:ascii="Bookman Old Style" w:hAnsi="Bookman Old Style" w:cs="Times New Roman"/>
          <w:i/>
          <w:sz w:val="14"/>
          <w:szCs w:val="14"/>
        </w:rPr>
      </w:pPr>
      <w:r w:rsidRPr="00EE71AD">
        <w:rPr>
          <w:rStyle w:val="Refdenotaalpie"/>
          <w:rFonts w:ascii="Bookman Old Style" w:hAnsi="Bookman Old Style"/>
          <w:i/>
          <w:sz w:val="14"/>
          <w:szCs w:val="14"/>
        </w:rPr>
        <w:footnoteRef/>
      </w:r>
      <w:r w:rsidRPr="00EE71AD">
        <w:rPr>
          <w:rFonts w:ascii="Bookman Old Style" w:hAnsi="Bookman Old Style" w:cs="Times New Roman"/>
          <w:i/>
          <w:sz w:val="14"/>
          <w:szCs w:val="14"/>
        </w:rPr>
        <w:t xml:space="preserve"> Pretendiendo que cada uno de los sub-principios del test se pudiese aplicar de manera gradual, de acuerdo con la extensión del margen de apreciación del legislador o la administración.</w:t>
      </w:r>
    </w:p>
  </w:footnote>
  <w:footnote w:id="95">
    <w:p w:rsidR="00286A0B" w:rsidRPr="00EE71AD" w:rsidRDefault="00286A0B" w:rsidP="007E2A01">
      <w:pPr>
        <w:jc w:val="both"/>
        <w:rPr>
          <w:rFonts w:ascii="Bookman Old Style" w:eastAsia="Calibri" w:hAnsi="Bookman Old Style"/>
          <w:i/>
          <w:sz w:val="14"/>
          <w:szCs w:val="14"/>
        </w:rPr>
      </w:pPr>
      <w:r w:rsidRPr="00EE71AD">
        <w:rPr>
          <w:rStyle w:val="Refdenotaalpie"/>
          <w:rFonts w:ascii="Bookman Old Style" w:hAnsi="Bookman Old Style"/>
          <w:i/>
          <w:sz w:val="14"/>
          <w:szCs w:val="14"/>
        </w:rPr>
        <w:footnoteRef/>
      </w:r>
      <w:r w:rsidRPr="00EE71AD">
        <w:rPr>
          <w:rFonts w:ascii="Bookman Old Style" w:hAnsi="Bookman Old Style"/>
          <w:i/>
          <w:sz w:val="14"/>
          <w:szCs w:val="14"/>
        </w:rPr>
        <w:t xml:space="preserve"> Corte Constitucional, Sentencia C-104 de 2016, M.P. Luis Guillermo Guerrero Pérez.</w:t>
      </w:r>
    </w:p>
  </w:footnote>
  <w:footnote w:id="96">
    <w:p w:rsidR="00286A0B" w:rsidRPr="00EE71AD" w:rsidRDefault="00286A0B" w:rsidP="007E2A01">
      <w:pPr>
        <w:pStyle w:val="Textonotapie"/>
        <w:jc w:val="both"/>
        <w:rPr>
          <w:rFonts w:ascii="Bookman Old Style" w:hAnsi="Bookman Old Style" w:cs="Times New Roman"/>
          <w:i/>
          <w:sz w:val="14"/>
          <w:szCs w:val="14"/>
        </w:rPr>
      </w:pPr>
      <w:r w:rsidRPr="00EE71AD">
        <w:rPr>
          <w:rStyle w:val="Refdenotaalpie"/>
          <w:rFonts w:ascii="Bookman Old Style" w:hAnsi="Bookman Old Style"/>
          <w:i/>
          <w:sz w:val="14"/>
          <w:szCs w:val="14"/>
        </w:rPr>
        <w:footnoteRef/>
      </w:r>
      <w:r w:rsidRPr="00EE71AD">
        <w:rPr>
          <w:rFonts w:ascii="Bookman Old Style" w:hAnsi="Bookman Old Style" w:cs="Times New Roman"/>
          <w:i/>
          <w:sz w:val="14"/>
          <w:szCs w:val="14"/>
        </w:rPr>
        <w:t xml:space="preserve"> </w:t>
      </w:r>
      <w:r w:rsidRPr="00EE71AD">
        <w:rPr>
          <w:rFonts w:ascii="Bookman Old Style" w:eastAsia="Calibri" w:hAnsi="Bookman Old Style" w:cs="Times New Roman"/>
          <w:i/>
          <w:sz w:val="14"/>
          <w:szCs w:val="14"/>
        </w:rPr>
        <w:t>Corte Constitucional, Sentencia C-144 de 2015. M.P. Martha Victoria Sáchica Méndez.</w:t>
      </w:r>
    </w:p>
  </w:footnote>
  <w:footnote w:id="97">
    <w:p w:rsidR="00286A0B" w:rsidRPr="00EE71AD" w:rsidRDefault="00286A0B" w:rsidP="007E2A01">
      <w:pPr>
        <w:pStyle w:val="Textonotapie"/>
        <w:jc w:val="both"/>
        <w:rPr>
          <w:rFonts w:ascii="Bookman Old Style" w:hAnsi="Bookman Old Style" w:cs="Times New Roman"/>
          <w:i/>
          <w:sz w:val="14"/>
          <w:szCs w:val="14"/>
        </w:rPr>
      </w:pPr>
      <w:r w:rsidRPr="00EE71AD">
        <w:rPr>
          <w:rStyle w:val="Refdenotaalpie"/>
          <w:rFonts w:ascii="Bookman Old Style" w:hAnsi="Bookman Old Style"/>
          <w:i/>
          <w:sz w:val="14"/>
          <w:szCs w:val="14"/>
        </w:rPr>
        <w:footnoteRef/>
      </w:r>
      <w:r w:rsidRPr="00EE71AD">
        <w:rPr>
          <w:rFonts w:ascii="Bookman Old Style" w:hAnsi="Bookman Old Style" w:cs="Times New Roman"/>
          <w:i/>
          <w:sz w:val="14"/>
          <w:szCs w:val="14"/>
        </w:rPr>
        <w:t xml:space="preserve"> Ibidem.</w:t>
      </w:r>
    </w:p>
  </w:footnote>
  <w:footnote w:id="98">
    <w:p w:rsidR="00286A0B" w:rsidRPr="00EE71AD" w:rsidRDefault="00286A0B" w:rsidP="007E2A01">
      <w:pPr>
        <w:pStyle w:val="Textonotapie"/>
        <w:jc w:val="both"/>
        <w:rPr>
          <w:rFonts w:ascii="Bookman Old Style" w:hAnsi="Bookman Old Style" w:cs="Times New Roman"/>
          <w:i/>
          <w:sz w:val="14"/>
          <w:szCs w:val="14"/>
        </w:rPr>
      </w:pPr>
      <w:r w:rsidRPr="00EE71AD">
        <w:rPr>
          <w:rStyle w:val="Refdenotaalpie"/>
          <w:rFonts w:ascii="Bookman Old Style" w:hAnsi="Bookman Old Style"/>
          <w:i/>
          <w:sz w:val="14"/>
          <w:szCs w:val="14"/>
        </w:rPr>
        <w:footnoteRef/>
      </w:r>
      <w:r w:rsidRPr="00EE71AD">
        <w:rPr>
          <w:rFonts w:ascii="Bookman Old Style" w:hAnsi="Bookman Old Style" w:cs="Times New Roman"/>
          <w:i/>
          <w:sz w:val="14"/>
          <w:szCs w:val="14"/>
        </w:rPr>
        <w:t xml:space="preserve"> Corte Constitucional, Sentencia C-104 de 2016, M.P. Luis Guillermo Guerrero Pérez.</w:t>
      </w:r>
    </w:p>
  </w:footnote>
  <w:footnote w:id="99">
    <w:p w:rsidR="00286A0B" w:rsidRPr="001E18FE" w:rsidRDefault="00286A0B" w:rsidP="007E2A01">
      <w:pPr>
        <w:pStyle w:val="Textonotapie"/>
        <w:jc w:val="both"/>
        <w:rPr>
          <w:rFonts w:ascii="Times New Roman" w:hAnsi="Times New Roman" w:cs="Times New Roman"/>
        </w:rPr>
      </w:pPr>
      <w:r w:rsidRPr="00EE71AD">
        <w:rPr>
          <w:rStyle w:val="Refdenotaalpie"/>
          <w:rFonts w:ascii="Bookman Old Style" w:hAnsi="Bookman Old Style"/>
          <w:i/>
          <w:sz w:val="14"/>
          <w:szCs w:val="14"/>
        </w:rPr>
        <w:footnoteRef/>
      </w:r>
      <w:r w:rsidRPr="00EE71AD">
        <w:rPr>
          <w:rFonts w:ascii="Bookman Old Style" w:hAnsi="Bookman Old Style" w:cs="Times New Roman"/>
          <w:i/>
          <w:sz w:val="14"/>
          <w:szCs w:val="14"/>
        </w:rPr>
        <w:t xml:space="preserve"> Ibidem.</w:t>
      </w:r>
    </w:p>
  </w:footnote>
  <w:footnote w:id="100">
    <w:p w:rsidR="00286A0B" w:rsidRPr="00EE71AD" w:rsidRDefault="00286A0B" w:rsidP="007E2A01">
      <w:pPr>
        <w:pStyle w:val="Textonotapie"/>
        <w:jc w:val="both"/>
        <w:rPr>
          <w:rFonts w:ascii="Bookman Old Style" w:hAnsi="Bookman Old Style" w:cs="Times New Roman"/>
          <w:i/>
          <w:sz w:val="14"/>
          <w:szCs w:val="14"/>
        </w:rPr>
      </w:pPr>
      <w:r w:rsidRPr="00EE71AD">
        <w:rPr>
          <w:rStyle w:val="Refdenotaalpie"/>
          <w:rFonts w:ascii="Bookman Old Style" w:hAnsi="Bookman Old Style"/>
          <w:i/>
          <w:sz w:val="14"/>
          <w:szCs w:val="14"/>
        </w:rPr>
        <w:footnoteRef/>
      </w:r>
      <w:r w:rsidRPr="00EE71AD">
        <w:rPr>
          <w:rFonts w:ascii="Bookman Old Style" w:hAnsi="Bookman Old Style" w:cs="Times New Roman"/>
          <w:i/>
          <w:sz w:val="14"/>
          <w:szCs w:val="14"/>
        </w:rPr>
        <w:t xml:space="preserve"> Corte Constitucional, Sentencia C-221 de 1994. M.P. Carlos Gaviria Díaz.</w:t>
      </w:r>
    </w:p>
  </w:footnote>
  <w:footnote w:id="101">
    <w:p w:rsidR="00286A0B" w:rsidRPr="00EE71AD" w:rsidRDefault="00286A0B" w:rsidP="007E2A01">
      <w:pPr>
        <w:pStyle w:val="Textonotapie"/>
        <w:jc w:val="both"/>
        <w:rPr>
          <w:rFonts w:ascii="Bookman Old Style" w:hAnsi="Bookman Old Style" w:cs="Times New Roman"/>
          <w:i/>
          <w:sz w:val="14"/>
          <w:szCs w:val="14"/>
        </w:rPr>
      </w:pPr>
      <w:r w:rsidRPr="00EE71AD">
        <w:rPr>
          <w:rStyle w:val="Refdenotaalpie"/>
          <w:rFonts w:ascii="Bookman Old Style" w:hAnsi="Bookman Old Style"/>
          <w:i/>
          <w:sz w:val="14"/>
          <w:szCs w:val="14"/>
        </w:rPr>
        <w:footnoteRef/>
      </w:r>
      <w:r w:rsidRPr="00EE71AD">
        <w:rPr>
          <w:rFonts w:ascii="Bookman Old Style" w:hAnsi="Bookman Old Style" w:cs="Times New Roman"/>
          <w:i/>
          <w:sz w:val="14"/>
          <w:szCs w:val="14"/>
        </w:rPr>
        <w:t xml:space="preserve"> Centro de Estudios de Derecho, Justicia y Sociedad, Dejusticia. 2017. Sobredosis Carcelaria y Política de Drogas en América Latina. Documentos Dejusticia 37. (PP.10) Recuperado de: https://www.dejusticia.org/wp-content/uploads/2017/07/Delitos-de-drogas-y-sobredosis-carcelaria-en-Colombia-Version-final-PDF-para-WEB.pdf</w:t>
      </w:r>
    </w:p>
  </w:footnote>
  <w:footnote w:id="102">
    <w:p w:rsidR="00286A0B" w:rsidRPr="00EE71AD" w:rsidRDefault="00286A0B" w:rsidP="007E2A01">
      <w:pPr>
        <w:pStyle w:val="Textonotapie"/>
        <w:jc w:val="both"/>
        <w:rPr>
          <w:rFonts w:ascii="Bookman Old Style" w:hAnsi="Bookman Old Style" w:cs="Times New Roman"/>
          <w:i/>
          <w:sz w:val="14"/>
          <w:szCs w:val="14"/>
        </w:rPr>
      </w:pPr>
      <w:r w:rsidRPr="00EE71AD">
        <w:rPr>
          <w:rStyle w:val="Refdenotaalpie"/>
          <w:rFonts w:ascii="Bookman Old Style" w:hAnsi="Bookman Old Style"/>
          <w:i/>
          <w:sz w:val="14"/>
          <w:szCs w:val="14"/>
        </w:rPr>
        <w:footnoteRef/>
      </w:r>
      <w:r w:rsidRPr="00EE71AD">
        <w:rPr>
          <w:rFonts w:ascii="Bookman Old Style" w:hAnsi="Bookman Old Style" w:cs="Times New Roman"/>
          <w:i/>
          <w:sz w:val="14"/>
          <w:szCs w:val="14"/>
        </w:rPr>
        <w:t xml:space="preserve"> Centro de Estudios de Derecho, Justicia y Sociedad, Dejusticia. 2017. Sobredosis Carcelaria y Política de Drogas en América Latina. Documentos Dejusticia 37. (PP.20) Recuperado de: https://www.dejusticia.org/wp-content/uploads/2017/07/Delitos-de-drogas-y-sobredosis-carcelaria-en-Colombia-Version-final-PDF-para-WEB.pdf</w:t>
      </w:r>
    </w:p>
  </w:footnote>
  <w:footnote w:id="103">
    <w:p w:rsidR="00286A0B" w:rsidRPr="00EE71AD" w:rsidRDefault="00286A0B" w:rsidP="007E2A01">
      <w:pPr>
        <w:pStyle w:val="Textonotapie"/>
        <w:jc w:val="both"/>
        <w:rPr>
          <w:rFonts w:ascii="Bookman Old Style" w:hAnsi="Bookman Old Style" w:cs="Times New Roman"/>
          <w:i/>
          <w:sz w:val="14"/>
          <w:szCs w:val="14"/>
        </w:rPr>
      </w:pPr>
      <w:r w:rsidRPr="00EE71AD">
        <w:rPr>
          <w:rStyle w:val="Refdenotaalpie"/>
          <w:rFonts w:ascii="Bookman Old Style" w:hAnsi="Bookman Old Style"/>
          <w:i/>
          <w:sz w:val="14"/>
          <w:szCs w:val="14"/>
        </w:rPr>
        <w:footnoteRef/>
      </w:r>
      <w:r w:rsidRPr="00EE71AD">
        <w:rPr>
          <w:rFonts w:ascii="Bookman Old Style" w:hAnsi="Bookman Old Style" w:cs="Times New Roman"/>
          <w:i/>
          <w:sz w:val="14"/>
          <w:szCs w:val="14"/>
        </w:rPr>
        <w:t xml:space="preserve"> Centro de Estudios de Derecho, Justicia y Sociedad, Dejusticia. 2017. Sobredosis Carcelaria y Política de Drogas en América Latina. Documentos Dejusticia 37. (PP.10) Recuperado de: https://www.dejusticia.org/wp-content/uploads/2017/07/Delitos-de-drogas-y-sobredosis-carcelaria-en-Colombia-Version-final-PDF-para-WEB.pdf</w:t>
      </w:r>
    </w:p>
  </w:footnote>
  <w:footnote w:id="104">
    <w:p w:rsidR="00286A0B" w:rsidRPr="001E18FE" w:rsidRDefault="00286A0B" w:rsidP="007E2A01">
      <w:pPr>
        <w:pStyle w:val="Textonotapie"/>
        <w:jc w:val="both"/>
        <w:rPr>
          <w:rFonts w:ascii="Times New Roman" w:hAnsi="Times New Roman" w:cs="Times New Roman"/>
        </w:rPr>
      </w:pPr>
      <w:r w:rsidRPr="00EE71AD">
        <w:rPr>
          <w:rStyle w:val="Refdenotaalpie"/>
          <w:rFonts w:ascii="Bookman Old Style" w:hAnsi="Bookman Old Style"/>
          <w:i/>
          <w:sz w:val="14"/>
          <w:szCs w:val="14"/>
        </w:rPr>
        <w:footnoteRef/>
      </w:r>
      <w:r w:rsidRPr="00EE71AD">
        <w:rPr>
          <w:rFonts w:ascii="Bookman Old Style" w:hAnsi="Bookman Old Style" w:cs="Times New Roman"/>
          <w:i/>
          <w:sz w:val="14"/>
          <w:szCs w:val="14"/>
        </w:rPr>
        <w:t xml:space="preserve"> Centro de Estudios de Derecho, Justicia y Sociedad, Dejusticia. 2017. Sobredosis Carcelaria y Política de Drogas en América Latina. Documentos Dejusticia 37.  Recuperado de: https://www.dejusticia.org/wp-content/uploads/2017/07/Delitos-de-drogas-y-sobredosis-carcelaria-en-Colombia-Version-final-PDF-para-WEB.pdf</w:t>
      </w:r>
    </w:p>
  </w:footnote>
  <w:footnote w:id="105">
    <w:p w:rsidR="00286A0B" w:rsidRPr="00EE71AD" w:rsidRDefault="00286A0B" w:rsidP="007E2A01">
      <w:pPr>
        <w:pStyle w:val="Textonotapie"/>
        <w:jc w:val="both"/>
        <w:rPr>
          <w:rFonts w:ascii="Bookman Old Style" w:hAnsi="Bookman Old Style" w:cs="Times New Roman"/>
          <w:i/>
          <w:sz w:val="14"/>
          <w:szCs w:val="14"/>
        </w:rPr>
      </w:pPr>
      <w:r w:rsidRPr="00EE71AD">
        <w:rPr>
          <w:rStyle w:val="Refdenotaalpie"/>
          <w:rFonts w:ascii="Bookman Old Style" w:hAnsi="Bookman Old Style"/>
          <w:i/>
          <w:sz w:val="14"/>
          <w:szCs w:val="14"/>
        </w:rPr>
        <w:footnoteRef/>
      </w:r>
      <w:r w:rsidRPr="00EE71AD">
        <w:rPr>
          <w:rFonts w:ascii="Bookman Old Style" w:hAnsi="Bookman Old Style" w:cs="Times New Roman"/>
          <w:i/>
          <w:sz w:val="14"/>
          <w:szCs w:val="14"/>
          <w:lang w:val="en-US"/>
        </w:rPr>
        <w:t xml:space="preserve"> World Prison Brief, Institute for Criminal Policy Research. </w:t>
      </w:r>
      <w:r w:rsidRPr="00EE71AD">
        <w:rPr>
          <w:rFonts w:ascii="Bookman Old Style" w:hAnsi="Bookman Old Style" w:cs="Times New Roman"/>
          <w:i/>
          <w:sz w:val="14"/>
          <w:szCs w:val="14"/>
        </w:rPr>
        <w:t>Recuperado de: http://www.prisonstudies.org/highest-to-lowest/prison-population-total y http://www.prisonstudies.org/country/colombia</w:t>
      </w:r>
    </w:p>
  </w:footnote>
  <w:footnote w:id="106">
    <w:p w:rsidR="00286A0B" w:rsidRPr="001E18FE" w:rsidRDefault="00286A0B" w:rsidP="007E2A01">
      <w:pPr>
        <w:pStyle w:val="Textonotapie"/>
        <w:jc w:val="both"/>
        <w:rPr>
          <w:rFonts w:ascii="Times New Roman" w:hAnsi="Times New Roman" w:cs="Times New Roman"/>
        </w:rPr>
      </w:pPr>
      <w:r w:rsidRPr="00EE71AD">
        <w:rPr>
          <w:rStyle w:val="Refdenotaalpie"/>
          <w:rFonts w:ascii="Bookman Old Style" w:hAnsi="Bookman Old Style"/>
          <w:i/>
          <w:sz w:val="14"/>
          <w:szCs w:val="14"/>
        </w:rPr>
        <w:footnoteRef/>
      </w:r>
      <w:r w:rsidRPr="00EE71AD">
        <w:rPr>
          <w:rFonts w:ascii="Bookman Old Style" w:hAnsi="Bookman Old Style" w:cs="Times New Roman"/>
          <w:i/>
          <w:sz w:val="14"/>
          <w:szCs w:val="14"/>
        </w:rPr>
        <w:t xml:space="preserve"> DANE. Estimaciones De Población 1985-2005 Y Proyecciones De Población 2005-2020 Nacional y Departamental Desagregado por Área, Sexo Y Grupos Quinquenales De Edad. Recuperado de: https://sitios.dane.gov.co/cnpv-presentacion/src/#cuantos00</w:t>
      </w:r>
    </w:p>
  </w:footnote>
  <w:footnote w:id="107">
    <w:p w:rsidR="00286A0B" w:rsidRPr="00EE71AD" w:rsidRDefault="00286A0B" w:rsidP="007E2A01">
      <w:pPr>
        <w:pStyle w:val="Textonotapie"/>
        <w:jc w:val="both"/>
        <w:rPr>
          <w:rFonts w:ascii="Bookman Old Style" w:hAnsi="Bookman Old Style" w:cs="Times New Roman"/>
          <w:i/>
          <w:sz w:val="14"/>
          <w:szCs w:val="14"/>
        </w:rPr>
      </w:pPr>
      <w:r w:rsidRPr="00EE71AD">
        <w:rPr>
          <w:rStyle w:val="Refdenotaalpie"/>
          <w:rFonts w:ascii="Bookman Old Style" w:hAnsi="Bookman Old Style"/>
          <w:i/>
          <w:sz w:val="14"/>
          <w:szCs w:val="14"/>
        </w:rPr>
        <w:footnoteRef/>
      </w:r>
      <w:r w:rsidRPr="00EE71AD">
        <w:rPr>
          <w:rFonts w:ascii="Bookman Old Style" w:hAnsi="Bookman Old Style" w:cs="Times New Roman"/>
          <w:i/>
          <w:sz w:val="14"/>
          <w:szCs w:val="14"/>
        </w:rPr>
        <w:t xml:space="preserve"> Centro de Estudios de Derecho, Justicia y Sociedad, Dejusticia. 2017. Sobredosis Carcelaria y Política de Drogas en América Latina. Documentos Dejusticia 37. Recuperado de: https://www.dejusticia.org/wp-content/uploads/2017/07/Delitos-de-drogas-y-sobredosis-carcelaria-en-Colombia-Version-final-PDF-para-WEB.pdf</w:t>
      </w:r>
    </w:p>
  </w:footnote>
  <w:footnote w:id="108">
    <w:p w:rsidR="00286A0B" w:rsidRPr="00EE71AD" w:rsidRDefault="00286A0B" w:rsidP="007E2A01">
      <w:pPr>
        <w:pStyle w:val="Textonotapie"/>
        <w:jc w:val="both"/>
        <w:rPr>
          <w:rFonts w:ascii="Bookman Old Style" w:hAnsi="Bookman Old Style" w:cs="Times New Roman"/>
          <w:sz w:val="14"/>
          <w:szCs w:val="14"/>
        </w:rPr>
      </w:pPr>
      <w:r w:rsidRPr="00EE71AD">
        <w:rPr>
          <w:rStyle w:val="Refdenotaalpie"/>
          <w:rFonts w:ascii="Bookman Old Style" w:hAnsi="Bookman Old Style"/>
          <w:i/>
          <w:iCs/>
          <w:sz w:val="14"/>
          <w:szCs w:val="14"/>
        </w:rPr>
        <w:footnoteRef/>
      </w:r>
      <w:r w:rsidRPr="00EE71AD">
        <w:rPr>
          <w:rFonts w:ascii="Bookman Old Style" w:hAnsi="Bookman Old Style" w:cs="Times New Roman"/>
          <w:i/>
          <w:iCs/>
          <w:sz w:val="14"/>
          <w:szCs w:val="14"/>
        </w:rPr>
        <w:t xml:space="preserve"> </w:t>
      </w:r>
      <w:r w:rsidRPr="00EE71AD">
        <w:rPr>
          <w:rFonts w:ascii="Bookman Old Style" w:hAnsi="Bookman Old Style" w:cs="Times New Roman"/>
          <w:i/>
          <w:sz w:val="14"/>
          <w:szCs w:val="14"/>
        </w:rPr>
        <w:t>Centro de Estudios de Derecho, Justicia y Sociedad, Dejusticia. 2017. Sobredosis Carcelaria y Política de Drogas en América Latina. Documentos Dejusticia 37. (Pp. 46) Recuperado de: https://www.dejusticia.org/wp-content/uploads/2017/07/Delitos-de-drogas-y-sobredosis-carcelaria-en-Colombia-Version-final-PDF-para-WEB.pdf</w:t>
      </w:r>
    </w:p>
  </w:footnote>
  <w:footnote w:id="109">
    <w:p w:rsidR="00286A0B" w:rsidRPr="00EE71AD" w:rsidRDefault="00286A0B" w:rsidP="007E2A01">
      <w:pPr>
        <w:pStyle w:val="Textonotapie"/>
        <w:jc w:val="both"/>
        <w:rPr>
          <w:rFonts w:ascii="Bookman Old Style" w:hAnsi="Bookman Old Style" w:cs="Times New Roman"/>
          <w:i/>
          <w:sz w:val="14"/>
          <w:szCs w:val="14"/>
        </w:rPr>
      </w:pPr>
      <w:r w:rsidRPr="00EE71AD">
        <w:rPr>
          <w:rStyle w:val="Refdenotaalpie"/>
          <w:rFonts w:ascii="Bookman Old Style" w:hAnsi="Bookman Old Style"/>
          <w:i/>
          <w:sz w:val="14"/>
          <w:szCs w:val="14"/>
        </w:rPr>
        <w:footnoteRef/>
      </w:r>
      <w:r w:rsidRPr="00EE71AD">
        <w:rPr>
          <w:rFonts w:ascii="Bookman Old Style" w:hAnsi="Bookman Old Style" w:cs="Times New Roman"/>
          <w:i/>
          <w:sz w:val="14"/>
          <w:szCs w:val="14"/>
        </w:rPr>
        <w:t xml:space="preserve"> Centro de Estudios de Derecho, Justicia y Sociedad, Dejusticia. 2017. Sobredosis Carcelaria y Política de Drogas en América Latina. Documentos Dejusticia 37. (Pp. 32) Recuperado de: https://www.dejusticia.org/wp-content/uploads/2017/07/Delitos-de-drogas-y-sobredosis-carcelaria-en-Colombia-Version-final-PDF-para-WEB.pdf</w:t>
      </w:r>
    </w:p>
  </w:footnote>
  <w:footnote w:id="110">
    <w:p w:rsidR="00286A0B" w:rsidRPr="00EE71AD" w:rsidRDefault="00286A0B" w:rsidP="007E2A01">
      <w:pPr>
        <w:pStyle w:val="Textonotapie"/>
        <w:jc w:val="both"/>
        <w:rPr>
          <w:rFonts w:ascii="Bookman Old Style" w:hAnsi="Bookman Old Style" w:cs="Times New Roman"/>
          <w:i/>
          <w:sz w:val="14"/>
          <w:szCs w:val="14"/>
        </w:rPr>
      </w:pPr>
      <w:r w:rsidRPr="00EE71AD">
        <w:rPr>
          <w:rStyle w:val="Refdenotaalpie"/>
          <w:rFonts w:ascii="Bookman Old Style" w:hAnsi="Bookman Old Style"/>
          <w:i/>
          <w:sz w:val="14"/>
          <w:szCs w:val="14"/>
        </w:rPr>
        <w:footnoteRef/>
      </w:r>
      <w:r w:rsidRPr="00EE71AD">
        <w:rPr>
          <w:rFonts w:ascii="Bookman Old Style" w:hAnsi="Bookman Old Style" w:cs="Times New Roman"/>
          <w:i/>
          <w:sz w:val="14"/>
          <w:szCs w:val="14"/>
        </w:rPr>
        <w:t xml:space="preserve"> Centro de Estudios de Derecho, Justicia y Sociedad, Dejusticia. 2017. Sobredosis Carcelaria y Política de Drogas en América Latina. Documentos Dejusticia 37. (Pp. 58) Recuperado de: https://www.dejusticia.org/wp-content/uploads/2017/07/Delitos-de-drogas-y-sobredosis-carcelaria-en-Colombia-Version-final-PDF-para-WEB.pdf</w:t>
      </w:r>
    </w:p>
  </w:footnote>
  <w:footnote w:id="111">
    <w:p w:rsidR="00286A0B" w:rsidRPr="00EE71AD" w:rsidRDefault="00286A0B" w:rsidP="007E2A01">
      <w:pPr>
        <w:pStyle w:val="Textonotapie"/>
        <w:jc w:val="both"/>
        <w:rPr>
          <w:rFonts w:ascii="Bookman Old Style" w:hAnsi="Bookman Old Style" w:cs="Times New Roman"/>
          <w:sz w:val="14"/>
          <w:szCs w:val="14"/>
        </w:rPr>
      </w:pPr>
      <w:r w:rsidRPr="00EE71AD">
        <w:rPr>
          <w:rStyle w:val="Refdenotaalpie"/>
          <w:rFonts w:ascii="Bookman Old Style" w:hAnsi="Bookman Old Style"/>
          <w:i/>
          <w:sz w:val="14"/>
          <w:szCs w:val="14"/>
        </w:rPr>
        <w:footnoteRef/>
      </w:r>
      <w:r w:rsidRPr="00EE71AD">
        <w:rPr>
          <w:rFonts w:ascii="Bookman Old Style" w:hAnsi="Bookman Old Style" w:cs="Times New Roman"/>
          <w:i/>
          <w:sz w:val="14"/>
          <w:szCs w:val="14"/>
        </w:rPr>
        <w:t xml:space="preserve"> Centro de Estudios de Derecho, Justicia y Sociedad, Dejusticia. 2017. Sobredosis Carcelaria y Política de Drogas en América Latina. Documentos Dejusticia 37. (Pp. 50) Recuperado de: https://www.dejusticia.org/wp-content/uploads/2017/07/Delitos-de-drogas-y-sobredosis-carcelaria-en-Colombia-Version-final-PDF-para-WEB.pdf</w:t>
      </w:r>
    </w:p>
  </w:footnote>
  <w:footnote w:id="112">
    <w:p w:rsidR="00286A0B" w:rsidRPr="001E18FE" w:rsidRDefault="00286A0B" w:rsidP="007E2A01">
      <w:pPr>
        <w:pStyle w:val="Textonotapie"/>
        <w:jc w:val="both"/>
        <w:rPr>
          <w:rFonts w:ascii="Times New Roman" w:hAnsi="Times New Roman" w:cs="Times New Roman"/>
          <w:i/>
        </w:rPr>
      </w:pPr>
      <w:r w:rsidRPr="00EE71AD">
        <w:rPr>
          <w:rStyle w:val="Refdenotaalpie"/>
          <w:rFonts w:ascii="Bookman Old Style" w:hAnsi="Bookman Old Style"/>
          <w:i/>
          <w:sz w:val="14"/>
          <w:szCs w:val="14"/>
        </w:rPr>
        <w:footnoteRef/>
      </w:r>
      <w:r w:rsidRPr="00EE71AD">
        <w:rPr>
          <w:rFonts w:ascii="Bookman Old Style" w:hAnsi="Bookman Old Style" w:cs="Times New Roman"/>
          <w:i/>
          <w:sz w:val="14"/>
          <w:szCs w:val="14"/>
        </w:rPr>
        <w:t xml:space="preserve"> Centro de Estudios de Derecho, Justicia y Sociedad, Dejusticia. 2017. Sobredosis Carcelaria y Política de Drogas en América Latina. Documentos Dejusticia 37. (Pp. 73) Recuperado de: </w:t>
      </w:r>
      <w:hyperlink r:id="rId5" w:history="1">
        <w:r w:rsidRPr="00EE71AD">
          <w:rPr>
            <w:rStyle w:val="Hipervnculo"/>
            <w:rFonts w:ascii="Bookman Old Style" w:hAnsi="Bookman Old Style" w:cs="Times New Roman"/>
            <w:i/>
            <w:sz w:val="14"/>
            <w:szCs w:val="14"/>
          </w:rPr>
          <w:t>https://www.dejusticia.org/wp-content/uploads/2017/07/Delitos-de-drogas-y-sobredosis-carcelaria-en-Colombia-Version-final-PDF-para-WEB.pdf</w:t>
        </w:r>
      </w:hyperlink>
    </w:p>
  </w:footnote>
  <w:footnote w:id="113">
    <w:p w:rsidR="00286A0B" w:rsidRPr="00EE71AD" w:rsidRDefault="00286A0B" w:rsidP="007E2A01">
      <w:pPr>
        <w:pStyle w:val="Textonotapie"/>
        <w:jc w:val="both"/>
        <w:rPr>
          <w:rFonts w:ascii="Bookman Old Style" w:hAnsi="Bookman Old Style" w:cs="Times New Roman"/>
          <w:sz w:val="14"/>
          <w:szCs w:val="14"/>
        </w:rPr>
      </w:pPr>
      <w:r w:rsidRPr="00EE71AD">
        <w:rPr>
          <w:rStyle w:val="Refdenotaalpie"/>
          <w:rFonts w:ascii="Bookman Old Style" w:hAnsi="Bookman Old Style"/>
          <w:i/>
          <w:sz w:val="14"/>
          <w:szCs w:val="14"/>
        </w:rPr>
        <w:footnoteRef/>
      </w:r>
      <w:r w:rsidRPr="00EE71AD">
        <w:rPr>
          <w:rFonts w:ascii="Bookman Old Style" w:hAnsi="Bookman Old Style" w:cs="Times New Roman"/>
          <w:i/>
          <w:sz w:val="14"/>
          <w:szCs w:val="14"/>
        </w:rPr>
        <w:t xml:space="preserve"> Comisión Global de Políticas de Drogas. 2018. Políticas De Drogas Y La Agenda Para El Desarrollo Sostenible. Recuperado de: </w:t>
      </w:r>
      <w:hyperlink r:id="rId6" w:history="1">
        <w:r w:rsidRPr="00EE71AD">
          <w:rPr>
            <w:rStyle w:val="Hipervnculo"/>
            <w:rFonts w:ascii="Bookman Old Style" w:hAnsi="Bookman Old Style" w:cs="Times New Roman"/>
            <w:i/>
            <w:sz w:val="14"/>
            <w:szCs w:val="14"/>
          </w:rPr>
          <w:t>http://www.globalcommissionondrugs.org/wp-content/uploads/2018/11/SPA-2018_SDGPaper_WEB.pdf</w:t>
        </w:r>
      </w:hyperlink>
    </w:p>
  </w:footnote>
  <w:footnote w:id="114">
    <w:p w:rsidR="00286A0B" w:rsidRPr="00EE71AD" w:rsidRDefault="00286A0B" w:rsidP="007E2A01">
      <w:pPr>
        <w:pStyle w:val="Textonotapie"/>
        <w:jc w:val="both"/>
        <w:rPr>
          <w:rFonts w:ascii="Bookman Old Style" w:hAnsi="Bookman Old Style" w:cs="Times New Roman"/>
          <w:i/>
          <w:iCs/>
          <w:sz w:val="14"/>
          <w:szCs w:val="14"/>
        </w:rPr>
      </w:pPr>
      <w:r w:rsidRPr="00EE71AD">
        <w:rPr>
          <w:rStyle w:val="Refdenotaalpie"/>
          <w:rFonts w:ascii="Bookman Old Style" w:hAnsi="Bookman Old Style"/>
          <w:i/>
          <w:iCs/>
          <w:sz w:val="14"/>
          <w:szCs w:val="14"/>
        </w:rPr>
        <w:footnoteRef/>
      </w:r>
      <w:r w:rsidRPr="00EE71AD">
        <w:rPr>
          <w:rFonts w:ascii="Bookman Old Style" w:hAnsi="Bookman Old Style" w:cs="Times New Roman"/>
          <w:i/>
          <w:iCs/>
          <w:sz w:val="14"/>
          <w:szCs w:val="14"/>
        </w:rPr>
        <w:t xml:space="preserve"> Comisión Global de Políticas de Drogas. 2018. Políticas De Drogas Y La Agenda Para El Desarrollo Sostenible. (Pp.6) Recuperado de: </w:t>
      </w:r>
      <w:hyperlink r:id="rId7" w:history="1">
        <w:r w:rsidRPr="00EE71AD">
          <w:rPr>
            <w:rStyle w:val="Hipervnculo"/>
            <w:rFonts w:ascii="Bookman Old Style" w:hAnsi="Bookman Old Style" w:cs="Times New Roman"/>
            <w:i/>
            <w:iCs/>
            <w:sz w:val="14"/>
            <w:szCs w:val="14"/>
          </w:rPr>
          <w:t>http://www.globalcommissionondrugs.org/wp-content/uploads/2018/11/SPA-2018_SDGPaper_WEB.pdf</w:t>
        </w:r>
      </w:hyperlink>
    </w:p>
  </w:footnote>
  <w:footnote w:id="115">
    <w:p w:rsidR="00286A0B" w:rsidRPr="00EE71AD" w:rsidRDefault="00286A0B" w:rsidP="007E2A01">
      <w:pPr>
        <w:pStyle w:val="Textonotapie"/>
        <w:jc w:val="both"/>
        <w:rPr>
          <w:rFonts w:ascii="Bookman Old Style" w:hAnsi="Bookman Old Style" w:cs="Times New Roman"/>
          <w:i/>
          <w:iCs/>
          <w:sz w:val="14"/>
          <w:szCs w:val="14"/>
        </w:rPr>
      </w:pPr>
      <w:r w:rsidRPr="00EE71AD">
        <w:rPr>
          <w:rStyle w:val="Refdenotaalpie"/>
          <w:rFonts w:ascii="Bookman Old Style" w:hAnsi="Bookman Old Style"/>
          <w:i/>
          <w:iCs/>
          <w:sz w:val="14"/>
          <w:szCs w:val="14"/>
        </w:rPr>
        <w:footnoteRef/>
      </w:r>
      <w:r w:rsidRPr="00EE71AD">
        <w:rPr>
          <w:rFonts w:ascii="Bookman Old Style" w:hAnsi="Bookman Old Style" w:cs="Times New Roman"/>
          <w:i/>
          <w:iCs/>
          <w:sz w:val="14"/>
          <w:szCs w:val="14"/>
        </w:rPr>
        <w:t xml:space="preserve"> Ibidem.</w:t>
      </w:r>
    </w:p>
  </w:footnote>
  <w:footnote w:id="116">
    <w:p w:rsidR="00286A0B" w:rsidRPr="00EE71AD" w:rsidRDefault="00286A0B" w:rsidP="007E2A01">
      <w:pPr>
        <w:pStyle w:val="Textonotapie"/>
        <w:jc w:val="both"/>
        <w:rPr>
          <w:rFonts w:ascii="Bookman Old Style" w:hAnsi="Bookman Old Style" w:cs="Times New Roman"/>
          <w:sz w:val="14"/>
          <w:szCs w:val="14"/>
        </w:rPr>
      </w:pPr>
      <w:r w:rsidRPr="00EE71AD">
        <w:rPr>
          <w:rStyle w:val="Refdenotaalpie"/>
          <w:rFonts w:ascii="Bookman Old Style" w:hAnsi="Bookman Old Style"/>
          <w:sz w:val="14"/>
          <w:szCs w:val="14"/>
        </w:rPr>
        <w:footnoteRef/>
      </w:r>
      <w:r w:rsidRPr="00EE71AD">
        <w:rPr>
          <w:rFonts w:ascii="Bookman Old Style" w:hAnsi="Bookman Old Style" w:cs="Times New Roman"/>
          <w:sz w:val="14"/>
          <w:szCs w:val="14"/>
        </w:rPr>
        <w:t xml:space="preserve"> </w:t>
      </w:r>
      <w:r w:rsidRPr="00EE71AD">
        <w:rPr>
          <w:rFonts w:ascii="Bookman Old Style" w:hAnsi="Bookman Old Style" w:cs="Times New Roman"/>
          <w:i/>
          <w:iCs/>
          <w:sz w:val="14"/>
          <w:szCs w:val="14"/>
        </w:rPr>
        <w:t>Ibidem.</w:t>
      </w:r>
    </w:p>
  </w:footnote>
  <w:footnote w:id="117">
    <w:p w:rsidR="00286A0B" w:rsidRPr="001E18FE" w:rsidRDefault="00286A0B" w:rsidP="007E2A01">
      <w:pPr>
        <w:pStyle w:val="Textonotapie"/>
        <w:jc w:val="both"/>
        <w:rPr>
          <w:rFonts w:ascii="Times New Roman" w:hAnsi="Times New Roman" w:cs="Times New Roman"/>
        </w:rPr>
      </w:pPr>
      <w:r w:rsidRPr="00EE71AD">
        <w:rPr>
          <w:rStyle w:val="Refdenotaalpie"/>
          <w:rFonts w:ascii="Bookman Old Style" w:hAnsi="Bookman Old Style"/>
          <w:sz w:val="14"/>
          <w:szCs w:val="14"/>
        </w:rPr>
        <w:footnoteRef/>
      </w:r>
      <w:r w:rsidRPr="00EE71AD">
        <w:rPr>
          <w:rFonts w:ascii="Bookman Old Style" w:hAnsi="Bookman Old Style" w:cs="Times New Roman"/>
          <w:sz w:val="14"/>
          <w:szCs w:val="14"/>
        </w:rPr>
        <w:t xml:space="preserve"> </w:t>
      </w:r>
      <w:r w:rsidRPr="00EE71AD">
        <w:rPr>
          <w:rFonts w:ascii="Bookman Old Style" w:hAnsi="Bookman Old Style" w:cs="Times New Roman"/>
          <w:i/>
          <w:sz w:val="14"/>
          <w:szCs w:val="14"/>
        </w:rPr>
        <w:t xml:space="preserve">Comisión Global de Políticas de Drogas. 2018. Políticas De Drogas Y La Agenda Para El Desarrollo Sostenible. (Pp.8) Recuperado de: </w:t>
      </w:r>
      <w:hyperlink r:id="rId8" w:history="1">
        <w:r w:rsidRPr="00EE71AD">
          <w:rPr>
            <w:rStyle w:val="Hipervnculo"/>
            <w:rFonts w:ascii="Bookman Old Style" w:hAnsi="Bookman Old Style" w:cs="Times New Roman"/>
            <w:i/>
            <w:sz w:val="14"/>
            <w:szCs w:val="14"/>
          </w:rPr>
          <w:t>http://www.globalcommissionondrugs.org/wp-content/uploads/2018/11/SPA-2018_SDGPaper_WEB.pdf</w:t>
        </w:r>
      </w:hyperlink>
    </w:p>
  </w:footnote>
  <w:footnote w:id="118">
    <w:p w:rsidR="00286A0B" w:rsidRPr="00EE71AD" w:rsidRDefault="00286A0B" w:rsidP="007E2A01">
      <w:pPr>
        <w:pStyle w:val="Textonotapie"/>
        <w:jc w:val="both"/>
        <w:rPr>
          <w:rFonts w:ascii="Bookman Old Style" w:hAnsi="Bookman Old Style" w:cs="Times New Roman"/>
          <w:sz w:val="14"/>
          <w:szCs w:val="14"/>
        </w:rPr>
      </w:pPr>
      <w:r w:rsidRPr="00EE71AD">
        <w:rPr>
          <w:rStyle w:val="Refdenotaalpie"/>
          <w:rFonts w:ascii="Bookman Old Style" w:hAnsi="Bookman Old Style"/>
          <w:sz w:val="14"/>
          <w:szCs w:val="14"/>
        </w:rPr>
        <w:footnoteRef/>
      </w:r>
      <w:r w:rsidRPr="00EE71AD">
        <w:rPr>
          <w:rFonts w:ascii="Bookman Old Style" w:hAnsi="Bookman Old Style" w:cs="Times New Roman"/>
          <w:sz w:val="14"/>
          <w:szCs w:val="14"/>
        </w:rPr>
        <w:t xml:space="preserve"> Comisión Global de Políticas de Drogas. 2018. Políticas De Drogas Y La Agenda Para El Desarrollo Sostenible. (Pp.7) Recuperado de: </w:t>
      </w:r>
      <w:hyperlink r:id="rId9" w:history="1">
        <w:r w:rsidRPr="00EE71AD">
          <w:rPr>
            <w:rStyle w:val="Hipervnculo"/>
            <w:rFonts w:ascii="Bookman Old Style" w:hAnsi="Bookman Old Style" w:cs="Times New Roman"/>
            <w:sz w:val="14"/>
            <w:szCs w:val="14"/>
          </w:rPr>
          <w:t>http://www.globalcommissionondrugs.org/wp-content/uploads/2018/11/SPA-2018_SDGPaper_WEB.pdf</w:t>
        </w:r>
      </w:hyperlink>
    </w:p>
  </w:footnote>
  <w:footnote w:id="119">
    <w:p w:rsidR="00286A0B" w:rsidRPr="00EE71AD" w:rsidRDefault="00286A0B" w:rsidP="007E2A01">
      <w:pPr>
        <w:pStyle w:val="Textonotapie"/>
        <w:jc w:val="both"/>
        <w:rPr>
          <w:rFonts w:ascii="Bookman Old Style" w:hAnsi="Bookman Old Style" w:cs="Times New Roman"/>
          <w:i/>
          <w:iCs/>
          <w:sz w:val="14"/>
          <w:szCs w:val="14"/>
        </w:rPr>
      </w:pPr>
      <w:r w:rsidRPr="00EE71AD">
        <w:rPr>
          <w:rStyle w:val="Refdenotaalpie"/>
          <w:rFonts w:ascii="Bookman Old Style" w:hAnsi="Bookman Old Style"/>
          <w:i/>
          <w:iCs/>
          <w:sz w:val="14"/>
          <w:szCs w:val="14"/>
        </w:rPr>
        <w:footnoteRef/>
      </w:r>
      <w:r w:rsidRPr="00EE71AD">
        <w:rPr>
          <w:rFonts w:ascii="Bookman Old Style" w:hAnsi="Bookman Old Style" w:cs="Times New Roman"/>
          <w:i/>
          <w:iCs/>
          <w:sz w:val="14"/>
          <w:szCs w:val="14"/>
        </w:rPr>
        <w:t xml:space="preserve"> Ibidem.</w:t>
      </w:r>
    </w:p>
  </w:footnote>
  <w:footnote w:id="120">
    <w:p w:rsidR="00286A0B" w:rsidRPr="00EE71AD" w:rsidRDefault="00286A0B" w:rsidP="007E2A01">
      <w:pPr>
        <w:pStyle w:val="Textonotapie"/>
        <w:jc w:val="both"/>
        <w:rPr>
          <w:rFonts w:ascii="Bookman Old Style" w:hAnsi="Bookman Old Style" w:cs="Times New Roman"/>
          <w:sz w:val="14"/>
          <w:szCs w:val="14"/>
        </w:rPr>
      </w:pPr>
      <w:r w:rsidRPr="00EE71AD">
        <w:rPr>
          <w:rStyle w:val="Refdenotaalpie"/>
          <w:rFonts w:ascii="Bookman Old Style" w:hAnsi="Bookman Old Style"/>
          <w:sz w:val="14"/>
          <w:szCs w:val="14"/>
        </w:rPr>
        <w:footnoteRef/>
      </w:r>
      <w:r w:rsidRPr="00EE71AD">
        <w:rPr>
          <w:rFonts w:ascii="Bookman Old Style" w:hAnsi="Bookman Old Style" w:cs="Times New Roman"/>
          <w:sz w:val="14"/>
          <w:szCs w:val="14"/>
        </w:rPr>
        <w:t xml:space="preserve"> </w:t>
      </w:r>
      <w:r w:rsidRPr="00EE71AD">
        <w:rPr>
          <w:rFonts w:ascii="Bookman Old Style" w:hAnsi="Bookman Old Style" w:cs="Times New Roman"/>
          <w:i/>
          <w:iCs/>
          <w:sz w:val="14"/>
          <w:szCs w:val="14"/>
        </w:rPr>
        <w:t>Ibidem.</w:t>
      </w:r>
    </w:p>
  </w:footnote>
  <w:footnote w:id="121">
    <w:p w:rsidR="00286A0B" w:rsidRPr="00EE71AD" w:rsidRDefault="00286A0B" w:rsidP="007E2A01">
      <w:pPr>
        <w:pStyle w:val="Textonotapie"/>
        <w:jc w:val="both"/>
        <w:rPr>
          <w:rFonts w:ascii="Bookman Old Style" w:hAnsi="Bookman Old Style" w:cs="Times New Roman"/>
          <w:i/>
          <w:iCs/>
          <w:sz w:val="14"/>
          <w:szCs w:val="14"/>
        </w:rPr>
      </w:pPr>
      <w:r w:rsidRPr="00EE71AD">
        <w:rPr>
          <w:rStyle w:val="Refdenotaalpie"/>
          <w:rFonts w:ascii="Bookman Old Style" w:hAnsi="Bookman Old Style"/>
          <w:i/>
          <w:iCs/>
          <w:sz w:val="14"/>
          <w:szCs w:val="14"/>
        </w:rPr>
        <w:footnoteRef/>
      </w:r>
      <w:r w:rsidRPr="00EE71AD">
        <w:rPr>
          <w:rFonts w:ascii="Bookman Old Style" w:hAnsi="Bookman Old Style" w:cs="Times New Roman"/>
          <w:i/>
          <w:iCs/>
          <w:sz w:val="14"/>
          <w:szCs w:val="14"/>
        </w:rPr>
        <w:t xml:space="preserve"> Comisión Global de Políticas de Drogas. 2018. Políticas De Drogas Y La Agenda Para El Desarrollo Sostenible. (Pp.7) Recuperado de: </w:t>
      </w:r>
      <w:hyperlink r:id="rId10" w:history="1">
        <w:r w:rsidRPr="00EE71AD">
          <w:rPr>
            <w:rStyle w:val="Hipervnculo"/>
            <w:rFonts w:ascii="Bookman Old Style" w:hAnsi="Bookman Old Style" w:cs="Times New Roman"/>
            <w:i/>
            <w:iCs/>
            <w:sz w:val="14"/>
            <w:szCs w:val="14"/>
          </w:rPr>
          <w:t>http://www.globalcommissionondrugs.org/wp-content/uploads/2018/11/SPA-2018_SDGPaper_WEB.pdf</w:t>
        </w:r>
      </w:hyperlink>
    </w:p>
  </w:footnote>
  <w:footnote w:id="122">
    <w:p w:rsidR="00286A0B" w:rsidRPr="00EE71AD" w:rsidRDefault="00286A0B" w:rsidP="007E2A01">
      <w:pPr>
        <w:pStyle w:val="Textonotapie"/>
        <w:jc w:val="both"/>
        <w:rPr>
          <w:rFonts w:ascii="Bookman Old Style" w:hAnsi="Bookman Old Style" w:cs="Times New Roman"/>
          <w:i/>
          <w:sz w:val="14"/>
          <w:szCs w:val="14"/>
        </w:rPr>
      </w:pPr>
      <w:r w:rsidRPr="00EE71AD">
        <w:rPr>
          <w:rStyle w:val="Refdenotaalpie"/>
          <w:rFonts w:ascii="Bookman Old Style" w:hAnsi="Bookman Old Style"/>
          <w:i/>
          <w:sz w:val="14"/>
          <w:szCs w:val="14"/>
        </w:rPr>
        <w:footnoteRef/>
      </w:r>
      <w:r w:rsidRPr="00EE71AD">
        <w:rPr>
          <w:rFonts w:ascii="Bookman Old Style" w:hAnsi="Bookman Old Style" w:cs="Times New Roman"/>
          <w:i/>
          <w:sz w:val="14"/>
          <w:szCs w:val="14"/>
        </w:rPr>
        <w:t xml:space="preserve"> Comisión Global de Políticas de Drogas. 2018. Políticas De Drogas Y La Agenda Para El Desarrollo Sostenible. (Pp.8) Recuperado de: </w:t>
      </w:r>
      <w:hyperlink r:id="rId11" w:history="1">
        <w:r w:rsidRPr="00EE71AD">
          <w:rPr>
            <w:rStyle w:val="Hipervnculo"/>
            <w:rFonts w:ascii="Bookman Old Style" w:hAnsi="Bookman Old Style" w:cs="Times New Roman"/>
            <w:i/>
            <w:sz w:val="14"/>
            <w:szCs w:val="14"/>
          </w:rPr>
          <w:t>http://www.globalcommissionondrugs.org/wp-content/uploads/2018/11/SPA-2018_SDGPaper_WEB.pdf</w:t>
        </w:r>
      </w:hyperlink>
    </w:p>
  </w:footnote>
  <w:footnote w:id="123">
    <w:p w:rsidR="00286A0B" w:rsidRPr="00EE71AD" w:rsidRDefault="00286A0B" w:rsidP="007E2A01">
      <w:pPr>
        <w:jc w:val="both"/>
        <w:rPr>
          <w:rFonts w:ascii="Bookman Old Style" w:hAnsi="Bookman Old Style"/>
          <w:i/>
          <w:sz w:val="14"/>
          <w:szCs w:val="14"/>
        </w:rPr>
      </w:pPr>
      <w:r w:rsidRPr="00EE71AD">
        <w:rPr>
          <w:rStyle w:val="Refdenotaalpie"/>
          <w:rFonts w:ascii="Bookman Old Style" w:hAnsi="Bookman Old Style"/>
          <w:i/>
          <w:sz w:val="14"/>
          <w:szCs w:val="14"/>
        </w:rPr>
        <w:footnoteRef/>
      </w:r>
      <w:r w:rsidRPr="00EE71AD">
        <w:rPr>
          <w:rFonts w:ascii="Bookman Old Style" w:hAnsi="Bookman Old Style"/>
          <w:i/>
          <w:sz w:val="14"/>
          <w:szCs w:val="14"/>
        </w:rPr>
        <w:t xml:space="preserve"> </w:t>
      </w:r>
      <w:r w:rsidRPr="00EE71AD">
        <w:rPr>
          <w:rFonts w:ascii="Bookman Old Style" w:hAnsi="Bookman Old Style"/>
          <w:i/>
          <w:iCs/>
          <w:sz w:val="14"/>
          <w:szCs w:val="14"/>
        </w:rPr>
        <w:t>Ibidem.</w:t>
      </w:r>
    </w:p>
  </w:footnote>
  <w:footnote w:id="124">
    <w:p w:rsidR="00286A0B" w:rsidRPr="00EE71AD" w:rsidRDefault="00286A0B" w:rsidP="007E2A01">
      <w:pPr>
        <w:jc w:val="both"/>
        <w:rPr>
          <w:rFonts w:ascii="Bookman Old Style" w:hAnsi="Bookman Old Style"/>
          <w:i/>
          <w:sz w:val="14"/>
          <w:szCs w:val="14"/>
        </w:rPr>
      </w:pPr>
      <w:r w:rsidRPr="00EE71AD">
        <w:rPr>
          <w:rStyle w:val="Refdenotaalpie"/>
          <w:rFonts w:ascii="Bookman Old Style" w:hAnsi="Bookman Old Style"/>
          <w:i/>
          <w:sz w:val="14"/>
          <w:szCs w:val="14"/>
        </w:rPr>
        <w:footnoteRef/>
      </w:r>
      <w:r w:rsidRPr="00EE71AD">
        <w:rPr>
          <w:rFonts w:ascii="Bookman Old Style" w:hAnsi="Bookman Old Style"/>
          <w:i/>
          <w:sz w:val="14"/>
          <w:szCs w:val="14"/>
        </w:rPr>
        <w:t xml:space="preserve"> Comisión Global de Políticas de Drogas. 2018. Políticas De Drogas Y La Agenda Para El Desarrollo Sostenible. (Pp.9) Recuperado de: </w:t>
      </w:r>
      <w:hyperlink r:id="rId12" w:history="1">
        <w:r w:rsidRPr="00EE71AD">
          <w:rPr>
            <w:rStyle w:val="Hipervnculo"/>
            <w:rFonts w:ascii="Bookman Old Style" w:hAnsi="Bookman Old Style"/>
            <w:i/>
            <w:sz w:val="14"/>
            <w:szCs w:val="14"/>
          </w:rPr>
          <w:t>http://www.globalcommissionondrugs.org/wp-content/uploads/2018/11/SPA-2018_SDGPaper_WEB.pdf</w:t>
        </w:r>
      </w:hyperlink>
    </w:p>
  </w:footnote>
  <w:footnote w:id="125">
    <w:p w:rsidR="00286A0B" w:rsidRPr="00EE71AD" w:rsidRDefault="00286A0B" w:rsidP="007E2A01">
      <w:pPr>
        <w:pStyle w:val="Textonotapie"/>
        <w:jc w:val="both"/>
        <w:rPr>
          <w:rFonts w:ascii="Bookman Old Style" w:hAnsi="Bookman Old Style" w:cs="Times New Roman"/>
          <w:sz w:val="14"/>
          <w:szCs w:val="14"/>
        </w:rPr>
      </w:pPr>
      <w:r w:rsidRPr="00EE71AD">
        <w:rPr>
          <w:rStyle w:val="Refdenotaalpie"/>
          <w:rFonts w:ascii="Bookman Old Style" w:hAnsi="Bookman Old Style"/>
          <w:i/>
          <w:sz w:val="14"/>
          <w:szCs w:val="14"/>
        </w:rPr>
        <w:footnoteRef/>
      </w:r>
      <w:r w:rsidRPr="00EE71AD">
        <w:rPr>
          <w:rFonts w:ascii="Bookman Old Style" w:hAnsi="Bookman Old Style" w:cs="Times New Roman"/>
          <w:i/>
          <w:sz w:val="14"/>
          <w:szCs w:val="14"/>
        </w:rPr>
        <w:t xml:space="preserve"> Comisión Global de Políticas de Drogas. 2018. Políticas De Drogas Y La Agenda Para El Desarrollo Sostenible. (Pp.10) Recuperado de: </w:t>
      </w:r>
      <w:hyperlink r:id="rId13" w:history="1">
        <w:r w:rsidRPr="00EE71AD">
          <w:rPr>
            <w:rStyle w:val="Hipervnculo"/>
            <w:rFonts w:ascii="Bookman Old Style" w:hAnsi="Bookman Old Style" w:cs="Times New Roman"/>
            <w:i/>
            <w:sz w:val="14"/>
            <w:szCs w:val="14"/>
          </w:rPr>
          <w:t>http://www.globalcommissionondrugs.org/wp-content/uploads/2018/11/SPA-2018_SDGPaper_WEB.pdf</w:t>
        </w:r>
      </w:hyperlink>
    </w:p>
  </w:footnote>
  <w:footnote w:id="126">
    <w:p w:rsidR="00286A0B" w:rsidRPr="001E18FE" w:rsidRDefault="00286A0B" w:rsidP="007E2A01">
      <w:pPr>
        <w:pStyle w:val="Textonotapie"/>
        <w:jc w:val="both"/>
        <w:rPr>
          <w:rFonts w:ascii="Times New Roman" w:hAnsi="Times New Roman" w:cs="Times New Roman"/>
        </w:rPr>
      </w:pPr>
      <w:r w:rsidRPr="00EE71AD">
        <w:rPr>
          <w:rStyle w:val="Refdenotaalpie"/>
          <w:rFonts w:ascii="Bookman Old Style" w:hAnsi="Bookman Old Style"/>
          <w:i/>
          <w:iCs/>
          <w:sz w:val="14"/>
          <w:szCs w:val="14"/>
        </w:rPr>
        <w:footnoteRef/>
      </w:r>
      <w:r w:rsidRPr="00EE71AD">
        <w:rPr>
          <w:rFonts w:ascii="Bookman Old Style" w:hAnsi="Bookman Old Style" w:cs="Times New Roman"/>
          <w:i/>
          <w:iCs/>
          <w:sz w:val="14"/>
          <w:szCs w:val="14"/>
        </w:rPr>
        <w:t xml:space="preserve"> </w:t>
      </w:r>
      <w:r w:rsidRPr="00EE71AD">
        <w:rPr>
          <w:rFonts w:ascii="Bookman Old Style" w:hAnsi="Bookman Old Style" w:cs="Times New Roman"/>
          <w:i/>
          <w:sz w:val="14"/>
          <w:szCs w:val="14"/>
        </w:rPr>
        <w:t xml:space="preserve">Comisión Global de Políticas de Drogas. 2018. Políticas De Drogas Y La Agenda Para El Desarrollo Sostenible. (Pp.16) Recuperado de: </w:t>
      </w:r>
      <w:hyperlink r:id="rId14" w:history="1">
        <w:r w:rsidRPr="00EE71AD">
          <w:rPr>
            <w:rStyle w:val="Hipervnculo"/>
            <w:rFonts w:ascii="Bookman Old Style" w:hAnsi="Bookman Old Style" w:cs="Times New Roman"/>
            <w:i/>
            <w:sz w:val="14"/>
            <w:szCs w:val="14"/>
          </w:rPr>
          <w:t>http://www.globalcommissionondrugs.org/wp-content/uploads/2018/11/SPA-2018_SDGPaper_WEB.pdf</w:t>
        </w:r>
      </w:hyperlink>
    </w:p>
  </w:footnote>
  <w:footnote w:id="127">
    <w:p w:rsidR="00286A0B" w:rsidRPr="00EE71AD" w:rsidRDefault="00286A0B" w:rsidP="007E2A01">
      <w:pPr>
        <w:pStyle w:val="Textonotapie"/>
        <w:jc w:val="both"/>
        <w:rPr>
          <w:rFonts w:ascii="Bookman Old Style" w:hAnsi="Bookman Old Style" w:cs="Times New Roman"/>
          <w:sz w:val="14"/>
          <w:szCs w:val="14"/>
        </w:rPr>
      </w:pPr>
      <w:r w:rsidRPr="00EE71AD">
        <w:rPr>
          <w:rStyle w:val="Refdenotaalpie"/>
          <w:rFonts w:ascii="Bookman Old Style" w:hAnsi="Bookman Old Style"/>
          <w:sz w:val="14"/>
          <w:szCs w:val="14"/>
        </w:rPr>
        <w:footnoteRef/>
      </w:r>
      <w:r w:rsidRPr="00EE71AD">
        <w:rPr>
          <w:rFonts w:ascii="Bookman Old Style" w:hAnsi="Bookman Old Style" w:cs="Times New Roman"/>
          <w:sz w:val="14"/>
          <w:szCs w:val="14"/>
        </w:rPr>
        <w:t xml:space="preserve"> </w:t>
      </w:r>
      <w:r w:rsidRPr="00EE71AD">
        <w:rPr>
          <w:rFonts w:ascii="Bookman Old Style" w:hAnsi="Bookman Old Style" w:cs="Times New Roman"/>
          <w:i/>
          <w:sz w:val="14"/>
          <w:szCs w:val="14"/>
        </w:rPr>
        <w:t xml:space="preserve">Comisión Global de Políticas de Drogas. 2018. Políticas De Drogas Y La Agenda Para El Desarrollo Sostenible. (Pp.17) Recuperado de: </w:t>
      </w:r>
      <w:hyperlink r:id="rId15" w:history="1">
        <w:r w:rsidRPr="00EE71AD">
          <w:rPr>
            <w:rStyle w:val="Hipervnculo"/>
            <w:rFonts w:ascii="Bookman Old Style" w:hAnsi="Bookman Old Style" w:cs="Times New Roman"/>
            <w:i/>
            <w:sz w:val="14"/>
            <w:szCs w:val="14"/>
          </w:rPr>
          <w:t>http://www.globalcommissionondrugs.org/wp-content/uploads/2018/11/SPA-2018_SDGPaper_WEB.pdf</w:t>
        </w:r>
      </w:hyperlink>
    </w:p>
  </w:footnote>
  <w:footnote w:id="128">
    <w:p w:rsidR="00286A0B" w:rsidRPr="00422FC6" w:rsidRDefault="00286A0B" w:rsidP="007E2A01">
      <w:pPr>
        <w:pStyle w:val="Textonotapie"/>
        <w:jc w:val="both"/>
        <w:rPr>
          <w:rFonts w:ascii="Times New Roman" w:hAnsi="Times New Roman" w:cs="Times New Roman"/>
          <w:i/>
          <w:iCs/>
          <w:sz w:val="16"/>
          <w:szCs w:val="16"/>
        </w:rPr>
      </w:pPr>
      <w:r w:rsidRPr="00EE71AD">
        <w:rPr>
          <w:rStyle w:val="Refdenotaalpie"/>
          <w:rFonts w:ascii="Bookman Old Style" w:hAnsi="Bookman Old Style"/>
          <w:i/>
          <w:iCs/>
          <w:sz w:val="14"/>
          <w:szCs w:val="14"/>
        </w:rPr>
        <w:footnoteRef/>
      </w:r>
      <w:r w:rsidRPr="00EE71AD">
        <w:rPr>
          <w:rFonts w:ascii="Bookman Old Style" w:hAnsi="Bookman Old Style" w:cs="Times New Roman"/>
          <w:i/>
          <w:iCs/>
          <w:sz w:val="14"/>
          <w:szCs w:val="14"/>
        </w:rPr>
        <w:t xml:space="preserve"> Ibidem.</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A0B" w:rsidRDefault="00286A0B">
    <w:pPr>
      <w:pBdr>
        <w:top w:val="nil"/>
        <w:left w:val="nil"/>
        <w:bottom w:val="nil"/>
        <w:right w:val="nil"/>
        <w:between w:val="nil"/>
      </w:pBdr>
      <w:rPr>
        <w:sz w:val="20"/>
        <w:szCs w:val="20"/>
      </w:rPr>
    </w:pPr>
    <w:r>
      <w:rPr>
        <w:noProof/>
      </w:rPr>
      <w:drawing>
        <wp:anchor distT="0" distB="0" distL="0" distR="0" simplePos="0" relativeHeight="251659264" behindDoc="0" locked="0" layoutInCell="1" allowOverlap="1" wp14:anchorId="727B0733" wp14:editId="74D019EC">
          <wp:simplePos x="0" y="0"/>
          <wp:positionH relativeFrom="margin">
            <wp:align>center</wp:align>
          </wp:positionH>
          <wp:positionV relativeFrom="paragraph">
            <wp:posOffset>-23854</wp:posOffset>
          </wp:positionV>
          <wp:extent cx="2200619" cy="647700"/>
          <wp:effectExtent l="0" t="0" r="9525" b="0"/>
          <wp:wrapSquare wrapText="bothSides" distT="0" distB="0" distL="0" distR="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200619" cy="647700"/>
                  </a:xfrm>
                  <a:prstGeom prst="rect">
                    <a:avLst/>
                  </a:prstGeom>
                  <a:ln/>
                </pic:spPr>
              </pic:pic>
            </a:graphicData>
          </a:graphic>
        </wp:anchor>
      </w:drawing>
    </w:r>
  </w:p>
  <w:p w:rsidR="00286A0B" w:rsidRDefault="00286A0B">
    <w:pPr>
      <w:pBdr>
        <w:top w:val="nil"/>
        <w:left w:val="nil"/>
        <w:bottom w:val="nil"/>
        <w:right w:val="nil"/>
        <w:between w:val="nil"/>
      </w:pBdr>
      <w:rPr>
        <w:sz w:val="20"/>
        <w:szCs w:val="20"/>
      </w:rPr>
    </w:pPr>
  </w:p>
  <w:p w:rsidR="00286A0B" w:rsidRDefault="00286A0B">
    <w:pPr>
      <w:pBdr>
        <w:top w:val="nil"/>
        <w:left w:val="nil"/>
        <w:bottom w:val="nil"/>
        <w:right w:val="nil"/>
        <w:between w:val="nil"/>
      </w:pBdr>
      <w:ind w:left="-1133"/>
      <w:rPr>
        <w:sz w:val="20"/>
        <w:szCs w:val="20"/>
      </w:rPr>
    </w:pPr>
  </w:p>
  <w:p w:rsidR="00286A0B" w:rsidRDefault="00286A0B">
    <w:pPr>
      <w:pBdr>
        <w:top w:val="nil"/>
        <w:left w:val="nil"/>
        <w:bottom w:val="nil"/>
        <w:right w:val="nil"/>
        <w:between w:val="nil"/>
      </w:pBdr>
      <w:rPr>
        <w:sz w:val="20"/>
        <w:szCs w:val="20"/>
      </w:rPr>
    </w:pPr>
  </w:p>
  <w:p w:rsidR="00286A0B" w:rsidRDefault="00286A0B"/>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61F8"/>
    <w:multiLevelType w:val="hybridMultilevel"/>
    <w:tmpl w:val="7E6A27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1B536D2"/>
    <w:multiLevelType w:val="hybridMultilevel"/>
    <w:tmpl w:val="B036A49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6FB76D0"/>
    <w:multiLevelType w:val="hybridMultilevel"/>
    <w:tmpl w:val="BBECE54C"/>
    <w:lvl w:ilvl="0" w:tplc="240A001B">
      <w:start w:val="1"/>
      <w:numFmt w:val="lowerRoman"/>
      <w:lvlText w:val="%1."/>
      <w:lvlJc w:val="right"/>
      <w:pPr>
        <w:ind w:left="1288" w:hanging="360"/>
      </w:pPr>
    </w:lvl>
    <w:lvl w:ilvl="1" w:tplc="240A0019" w:tentative="1">
      <w:start w:val="1"/>
      <w:numFmt w:val="lowerLetter"/>
      <w:lvlText w:val="%2."/>
      <w:lvlJc w:val="left"/>
      <w:pPr>
        <w:ind w:left="2008" w:hanging="360"/>
      </w:pPr>
    </w:lvl>
    <w:lvl w:ilvl="2" w:tplc="240A001B" w:tentative="1">
      <w:start w:val="1"/>
      <w:numFmt w:val="lowerRoman"/>
      <w:lvlText w:val="%3."/>
      <w:lvlJc w:val="right"/>
      <w:pPr>
        <w:ind w:left="2728" w:hanging="180"/>
      </w:pPr>
    </w:lvl>
    <w:lvl w:ilvl="3" w:tplc="240A000F" w:tentative="1">
      <w:start w:val="1"/>
      <w:numFmt w:val="decimal"/>
      <w:lvlText w:val="%4."/>
      <w:lvlJc w:val="left"/>
      <w:pPr>
        <w:ind w:left="3448" w:hanging="360"/>
      </w:pPr>
    </w:lvl>
    <w:lvl w:ilvl="4" w:tplc="240A0019" w:tentative="1">
      <w:start w:val="1"/>
      <w:numFmt w:val="lowerLetter"/>
      <w:lvlText w:val="%5."/>
      <w:lvlJc w:val="left"/>
      <w:pPr>
        <w:ind w:left="4168" w:hanging="360"/>
      </w:pPr>
    </w:lvl>
    <w:lvl w:ilvl="5" w:tplc="240A001B" w:tentative="1">
      <w:start w:val="1"/>
      <w:numFmt w:val="lowerRoman"/>
      <w:lvlText w:val="%6."/>
      <w:lvlJc w:val="right"/>
      <w:pPr>
        <w:ind w:left="4888" w:hanging="180"/>
      </w:pPr>
    </w:lvl>
    <w:lvl w:ilvl="6" w:tplc="240A000F" w:tentative="1">
      <w:start w:val="1"/>
      <w:numFmt w:val="decimal"/>
      <w:lvlText w:val="%7."/>
      <w:lvlJc w:val="left"/>
      <w:pPr>
        <w:ind w:left="5608" w:hanging="360"/>
      </w:pPr>
    </w:lvl>
    <w:lvl w:ilvl="7" w:tplc="240A0019" w:tentative="1">
      <w:start w:val="1"/>
      <w:numFmt w:val="lowerLetter"/>
      <w:lvlText w:val="%8."/>
      <w:lvlJc w:val="left"/>
      <w:pPr>
        <w:ind w:left="6328" w:hanging="360"/>
      </w:pPr>
    </w:lvl>
    <w:lvl w:ilvl="8" w:tplc="240A001B" w:tentative="1">
      <w:start w:val="1"/>
      <w:numFmt w:val="lowerRoman"/>
      <w:lvlText w:val="%9."/>
      <w:lvlJc w:val="right"/>
      <w:pPr>
        <w:ind w:left="7048" w:hanging="180"/>
      </w:pPr>
    </w:lvl>
  </w:abstractNum>
  <w:abstractNum w:abstractNumId="3" w15:restartNumberingAfterBreak="0">
    <w:nsid w:val="08AF5976"/>
    <w:multiLevelType w:val="hybridMultilevel"/>
    <w:tmpl w:val="B4885C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8FF52F2"/>
    <w:multiLevelType w:val="hybridMultilevel"/>
    <w:tmpl w:val="88D86D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B43425C"/>
    <w:multiLevelType w:val="hybridMultilevel"/>
    <w:tmpl w:val="C874BC4C"/>
    <w:lvl w:ilvl="0" w:tplc="D73A51B4">
      <w:start w:val="3"/>
      <w:numFmt w:val="bullet"/>
      <w:lvlText w:val=""/>
      <w:lvlJc w:val="left"/>
      <w:pPr>
        <w:ind w:left="720" w:hanging="360"/>
      </w:pPr>
      <w:rPr>
        <w:rFonts w:ascii="Symbol" w:eastAsiaTheme="minorHAnsi" w:hAnsi="Symbol" w:cstheme="minorBidi" w:hint="default"/>
        <w:sz w:val="2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C915990"/>
    <w:multiLevelType w:val="hybridMultilevel"/>
    <w:tmpl w:val="FCE22ACE"/>
    <w:lvl w:ilvl="0" w:tplc="D466FB5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E5F128B"/>
    <w:multiLevelType w:val="hybridMultilevel"/>
    <w:tmpl w:val="14FC45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0EB20099"/>
    <w:multiLevelType w:val="hybridMultilevel"/>
    <w:tmpl w:val="4B485F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46B0DB7"/>
    <w:multiLevelType w:val="hybridMultilevel"/>
    <w:tmpl w:val="A4527A62"/>
    <w:lvl w:ilvl="0" w:tplc="C8142AC6">
      <w:numFmt w:val="bullet"/>
      <w:lvlText w:val="-"/>
      <w:lvlJc w:val="left"/>
      <w:pPr>
        <w:ind w:left="360" w:hanging="360"/>
      </w:pPr>
      <w:rPr>
        <w:rFonts w:ascii="Bookman Old Style" w:eastAsia="Calibri" w:hAnsi="Bookman Old Style"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15797F79"/>
    <w:multiLevelType w:val="hybridMultilevel"/>
    <w:tmpl w:val="5510A44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D735CF"/>
    <w:multiLevelType w:val="hybridMultilevel"/>
    <w:tmpl w:val="0082F0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8DA0818"/>
    <w:multiLevelType w:val="hybridMultilevel"/>
    <w:tmpl w:val="4AAC0A9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CE24A0E"/>
    <w:multiLevelType w:val="multilevel"/>
    <w:tmpl w:val="8FBC8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DDD59C1"/>
    <w:multiLevelType w:val="hybridMultilevel"/>
    <w:tmpl w:val="1AEC536A"/>
    <w:lvl w:ilvl="0" w:tplc="B39E4A38">
      <w:numFmt w:val="bullet"/>
      <w:lvlText w:val="•"/>
      <w:lvlJc w:val="left"/>
      <w:pPr>
        <w:ind w:left="704" w:hanging="420"/>
      </w:pPr>
      <w:rPr>
        <w:rFonts w:ascii="Bookman Old Style" w:eastAsia="Times New Roman" w:hAnsi="Bookman Old Style" w:cs="Times New Roman"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15" w15:restartNumberingAfterBreak="0">
    <w:nsid w:val="1E6653E2"/>
    <w:multiLevelType w:val="hybridMultilevel"/>
    <w:tmpl w:val="E8C0A624"/>
    <w:lvl w:ilvl="0" w:tplc="F566E97C">
      <w:numFmt w:val="bullet"/>
      <w:lvlText w:val="-"/>
      <w:lvlJc w:val="left"/>
      <w:pPr>
        <w:ind w:left="720" w:hanging="360"/>
      </w:pPr>
      <w:rPr>
        <w:rFonts w:ascii="Calibri" w:eastAsia="Times New Roman" w:hAnsi="Calibri"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204247E"/>
    <w:multiLevelType w:val="hybridMultilevel"/>
    <w:tmpl w:val="70EC83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24D2BED"/>
    <w:multiLevelType w:val="hybridMultilevel"/>
    <w:tmpl w:val="4A700DD8"/>
    <w:lvl w:ilvl="0" w:tplc="C8142AC6">
      <w:numFmt w:val="bullet"/>
      <w:lvlText w:val="-"/>
      <w:lvlJc w:val="left"/>
      <w:pPr>
        <w:ind w:left="720" w:hanging="360"/>
      </w:pPr>
      <w:rPr>
        <w:rFonts w:ascii="Bookman Old Style" w:eastAsia="Calibri" w:hAnsi="Bookman Old Style"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8BF5725"/>
    <w:multiLevelType w:val="multilevel"/>
    <w:tmpl w:val="D68064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A901F59"/>
    <w:multiLevelType w:val="hybridMultilevel"/>
    <w:tmpl w:val="8328F9D4"/>
    <w:lvl w:ilvl="0" w:tplc="C8142AC6">
      <w:numFmt w:val="bullet"/>
      <w:lvlText w:val="-"/>
      <w:lvlJc w:val="left"/>
      <w:pPr>
        <w:ind w:left="720" w:hanging="360"/>
      </w:pPr>
      <w:rPr>
        <w:rFonts w:ascii="Bookman Old Style" w:eastAsia="Calibri" w:hAnsi="Bookman Old Style"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AFD62B7"/>
    <w:multiLevelType w:val="hybridMultilevel"/>
    <w:tmpl w:val="BD2E1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AF2F27"/>
    <w:multiLevelType w:val="hybridMultilevel"/>
    <w:tmpl w:val="2DBE18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8D15EE0"/>
    <w:multiLevelType w:val="multilevel"/>
    <w:tmpl w:val="D68064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AB02AF4"/>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CCD3CB1"/>
    <w:multiLevelType w:val="hybridMultilevel"/>
    <w:tmpl w:val="042C7F4C"/>
    <w:lvl w:ilvl="0" w:tplc="240A001B">
      <w:start w:val="1"/>
      <w:numFmt w:val="lowerRoman"/>
      <w:lvlText w:val="%1."/>
      <w:lvlJc w:val="righ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26900A0"/>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29E728C"/>
    <w:multiLevelType w:val="multilevel"/>
    <w:tmpl w:val="66A2E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7647ABE"/>
    <w:multiLevelType w:val="hybridMultilevel"/>
    <w:tmpl w:val="2CCE41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7F96D54"/>
    <w:multiLevelType w:val="multilevel"/>
    <w:tmpl w:val="0E4AB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8C6255C"/>
    <w:multiLevelType w:val="multilevel"/>
    <w:tmpl w:val="F8D232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48E96444"/>
    <w:multiLevelType w:val="hybridMultilevel"/>
    <w:tmpl w:val="8EC498A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49034F47"/>
    <w:multiLevelType w:val="hybridMultilevel"/>
    <w:tmpl w:val="68420C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49742DF9"/>
    <w:multiLevelType w:val="multilevel"/>
    <w:tmpl w:val="B3D4498A"/>
    <w:lvl w:ilvl="0">
      <w:start w:val="1"/>
      <w:numFmt w:val="bullet"/>
      <w:lvlText w:val="●"/>
      <w:lvlJc w:val="left"/>
      <w:pPr>
        <w:ind w:left="720" w:hanging="360"/>
      </w:pPr>
      <w:rPr>
        <w:rFonts w:ascii="Bookman Old Style" w:eastAsia="Noto Sans Symbols" w:hAnsi="Bookman Old Style" w:cs="Noto Sans Symbols" w:hint="default"/>
        <w:sz w:val="18"/>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4AE90ED5"/>
    <w:multiLevelType w:val="hybridMultilevel"/>
    <w:tmpl w:val="53FA0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DA163B3"/>
    <w:multiLevelType w:val="hybridMultilevel"/>
    <w:tmpl w:val="2AC6709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33263AE"/>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8EB6951"/>
    <w:multiLevelType w:val="hybridMultilevel"/>
    <w:tmpl w:val="00C6F41A"/>
    <w:lvl w:ilvl="0" w:tplc="2F2023DC">
      <w:numFmt w:val="bullet"/>
      <w:lvlText w:val="-"/>
      <w:lvlJc w:val="left"/>
      <w:pPr>
        <w:ind w:left="720" w:hanging="360"/>
      </w:pPr>
      <w:rPr>
        <w:rFonts w:ascii="Bookman Old Style" w:eastAsia="Calibri" w:hAnsi="Bookman Old Style"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B021E58"/>
    <w:multiLevelType w:val="hybridMultilevel"/>
    <w:tmpl w:val="BDA03E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5C5E5661"/>
    <w:multiLevelType w:val="multilevel"/>
    <w:tmpl w:val="3330453E"/>
    <w:lvl w:ilvl="0">
      <w:start w:val="1"/>
      <w:numFmt w:val="decimal"/>
      <w:lvlText w:val="%1."/>
      <w:lvlJc w:val="left"/>
      <w:pPr>
        <w:ind w:left="644" w:hanging="360"/>
      </w:pPr>
    </w:lvl>
    <w:lvl w:ilvl="1">
      <w:start w:val="1"/>
      <w:numFmt w:val="lowerLetter"/>
      <w:lvlText w:val="%2."/>
      <w:lvlJc w:val="left"/>
      <w:pPr>
        <w:ind w:left="1182" w:hanging="360"/>
      </w:pPr>
    </w:lvl>
    <w:lvl w:ilvl="2">
      <w:start w:val="1"/>
      <w:numFmt w:val="lowerRoman"/>
      <w:lvlText w:val="%3."/>
      <w:lvlJc w:val="right"/>
      <w:pPr>
        <w:ind w:left="1902" w:hanging="180"/>
      </w:pPr>
    </w:lvl>
    <w:lvl w:ilvl="3">
      <w:start w:val="1"/>
      <w:numFmt w:val="decimal"/>
      <w:lvlText w:val="%4."/>
      <w:lvlJc w:val="left"/>
      <w:pPr>
        <w:ind w:left="2622" w:hanging="360"/>
      </w:pPr>
    </w:lvl>
    <w:lvl w:ilvl="4">
      <w:start w:val="1"/>
      <w:numFmt w:val="lowerLetter"/>
      <w:lvlText w:val="%5."/>
      <w:lvlJc w:val="left"/>
      <w:pPr>
        <w:ind w:left="3342" w:hanging="360"/>
      </w:pPr>
    </w:lvl>
    <w:lvl w:ilvl="5">
      <w:start w:val="1"/>
      <w:numFmt w:val="lowerRoman"/>
      <w:lvlText w:val="%6."/>
      <w:lvlJc w:val="right"/>
      <w:pPr>
        <w:ind w:left="4062" w:hanging="180"/>
      </w:pPr>
    </w:lvl>
    <w:lvl w:ilvl="6">
      <w:start w:val="1"/>
      <w:numFmt w:val="decimal"/>
      <w:lvlText w:val="%7."/>
      <w:lvlJc w:val="left"/>
      <w:pPr>
        <w:ind w:left="4782" w:hanging="360"/>
      </w:pPr>
    </w:lvl>
    <w:lvl w:ilvl="7">
      <w:start w:val="1"/>
      <w:numFmt w:val="lowerLetter"/>
      <w:lvlText w:val="%8."/>
      <w:lvlJc w:val="left"/>
      <w:pPr>
        <w:ind w:left="5502" w:hanging="360"/>
      </w:pPr>
    </w:lvl>
    <w:lvl w:ilvl="8">
      <w:start w:val="1"/>
      <w:numFmt w:val="lowerRoman"/>
      <w:lvlText w:val="%9."/>
      <w:lvlJc w:val="right"/>
      <w:pPr>
        <w:ind w:left="6222" w:hanging="180"/>
      </w:pPr>
    </w:lvl>
  </w:abstractNum>
  <w:abstractNum w:abstractNumId="39" w15:restartNumberingAfterBreak="0">
    <w:nsid w:val="5DB77198"/>
    <w:multiLevelType w:val="hybridMultilevel"/>
    <w:tmpl w:val="6D56DDF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6455593A"/>
    <w:multiLevelType w:val="hybridMultilevel"/>
    <w:tmpl w:val="84BA7A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682A5C73"/>
    <w:multiLevelType w:val="hybridMultilevel"/>
    <w:tmpl w:val="020245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6F0F530B"/>
    <w:multiLevelType w:val="multilevel"/>
    <w:tmpl w:val="D68064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6F6A0764"/>
    <w:multiLevelType w:val="hybridMultilevel"/>
    <w:tmpl w:val="D2CA3C50"/>
    <w:lvl w:ilvl="0" w:tplc="4CD87B7C">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70997689"/>
    <w:multiLevelType w:val="hybridMultilevel"/>
    <w:tmpl w:val="7AD6C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89721F"/>
    <w:multiLevelType w:val="hybridMultilevel"/>
    <w:tmpl w:val="CB226F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15:restartNumberingAfterBreak="0">
    <w:nsid w:val="7C231D96"/>
    <w:multiLevelType w:val="multilevel"/>
    <w:tmpl w:val="610C9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D0E54F3"/>
    <w:multiLevelType w:val="hybridMultilevel"/>
    <w:tmpl w:val="72F20E4E"/>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num w:numId="1">
    <w:abstractNumId w:val="18"/>
  </w:num>
  <w:num w:numId="2">
    <w:abstractNumId w:val="38"/>
  </w:num>
  <w:num w:numId="3">
    <w:abstractNumId w:val="35"/>
  </w:num>
  <w:num w:numId="4">
    <w:abstractNumId w:val="29"/>
  </w:num>
  <w:num w:numId="5">
    <w:abstractNumId w:val="11"/>
  </w:num>
  <w:num w:numId="6">
    <w:abstractNumId w:val="16"/>
  </w:num>
  <w:num w:numId="7">
    <w:abstractNumId w:val="7"/>
  </w:num>
  <w:num w:numId="8">
    <w:abstractNumId w:val="37"/>
  </w:num>
  <w:num w:numId="9">
    <w:abstractNumId w:val="0"/>
  </w:num>
  <w:num w:numId="10">
    <w:abstractNumId w:val="4"/>
  </w:num>
  <w:num w:numId="11">
    <w:abstractNumId w:val="34"/>
  </w:num>
  <w:num w:numId="12">
    <w:abstractNumId w:val="42"/>
  </w:num>
  <w:num w:numId="13">
    <w:abstractNumId w:val="22"/>
  </w:num>
  <w:num w:numId="14">
    <w:abstractNumId w:val="21"/>
  </w:num>
  <w:num w:numId="15">
    <w:abstractNumId w:val="5"/>
  </w:num>
  <w:num w:numId="16">
    <w:abstractNumId w:val="13"/>
  </w:num>
  <w:num w:numId="17">
    <w:abstractNumId w:val="41"/>
  </w:num>
  <w:num w:numId="18">
    <w:abstractNumId w:val="45"/>
  </w:num>
  <w:num w:numId="19">
    <w:abstractNumId w:val="30"/>
  </w:num>
  <w:num w:numId="20">
    <w:abstractNumId w:val="23"/>
  </w:num>
  <w:num w:numId="21">
    <w:abstractNumId w:val="15"/>
  </w:num>
  <w:num w:numId="22">
    <w:abstractNumId w:val="17"/>
  </w:num>
  <w:num w:numId="23">
    <w:abstractNumId w:val="3"/>
  </w:num>
  <w:num w:numId="24">
    <w:abstractNumId w:val="36"/>
  </w:num>
  <w:num w:numId="25">
    <w:abstractNumId w:val="47"/>
  </w:num>
  <w:num w:numId="26">
    <w:abstractNumId w:val="1"/>
  </w:num>
  <w:num w:numId="27">
    <w:abstractNumId w:val="40"/>
  </w:num>
  <w:num w:numId="28">
    <w:abstractNumId w:val="9"/>
  </w:num>
  <w:num w:numId="29">
    <w:abstractNumId w:val="19"/>
  </w:num>
  <w:num w:numId="30">
    <w:abstractNumId w:val="14"/>
  </w:num>
  <w:num w:numId="31">
    <w:abstractNumId w:val="12"/>
  </w:num>
  <w:num w:numId="32">
    <w:abstractNumId w:val="10"/>
  </w:num>
  <w:num w:numId="33">
    <w:abstractNumId w:val="43"/>
  </w:num>
  <w:num w:numId="34">
    <w:abstractNumId w:val="39"/>
  </w:num>
  <w:num w:numId="35">
    <w:abstractNumId w:val="25"/>
  </w:num>
  <w:num w:numId="36">
    <w:abstractNumId w:val="33"/>
  </w:num>
  <w:num w:numId="37">
    <w:abstractNumId w:val="2"/>
  </w:num>
  <w:num w:numId="38">
    <w:abstractNumId w:val="24"/>
  </w:num>
  <w:num w:numId="39">
    <w:abstractNumId w:val="44"/>
  </w:num>
  <w:num w:numId="40">
    <w:abstractNumId w:val="20"/>
  </w:num>
  <w:num w:numId="41">
    <w:abstractNumId w:val="32"/>
  </w:num>
  <w:num w:numId="42">
    <w:abstractNumId w:val="8"/>
  </w:num>
  <w:num w:numId="43">
    <w:abstractNumId w:val="6"/>
  </w:num>
  <w:num w:numId="44">
    <w:abstractNumId w:val="31"/>
  </w:num>
  <w:num w:numId="45">
    <w:abstractNumId w:val="26"/>
  </w:num>
  <w:num w:numId="46">
    <w:abstractNumId w:val="28"/>
    <w:lvlOverride w:ilvl="0">
      <w:startOverride w:val="2"/>
    </w:lvlOverride>
  </w:num>
  <w:num w:numId="47">
    <w:abstractNumId w:val="46"/>
    <w:lvlOverride w:ilvl="0">
      <w:startOverride w:val="3"/>
    </w:lvlOverride>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A01"/>
    <w:rsid w:val="00012012"/>
    <w:rsid w:val="00014699"/>
    <w:rsid w:val="00035D59"/>
    <w:rsid w:val="00043C11"/>
    <w:rsid w:val="00076757"/>
    <w:rsid w:val="00125B30"/>
    <w:rsid w:val="0017537D"/>
    <w:rsid w:val="001855F4"/>
    <w:rsid w:val="00192148"/>
    <w:rsid w:val="001A7903"/>
    <w:rsid w:val="0020217B"/>
    <w:rsid w:val="0024410D"/>
    <w:rsid w:val="00266ACC"/>
    <w:rsid w:val="0027730B"/>
    <w:rsid w:val="00283249"/>
    <w:rsid w:val="00286A0B"/>
    <w:rsid w:val="002B336A"/>
    <w:rsid w:val="002E0058"/>
    <w:rsid w:val="00336F76"/>
    <w:rsid w:val="003D3E1D"/>
    <w:rsid w:val="003D755A"/>
    <w:rsid w:val="00481195"/>
    <w:rsid w:val="00491A79"/>
    <w:rsid w:val="004A1857"/>
    <w:rsid w:val="004B1A8E"/>
    <w:rsid w:val="004C20B2"/>
    <w:rsid w:val="00510B6F"/>
    <w:rsid w:val="005633A8"/>
    <w:rsid w:val="005B56B0"/>
    <w:rsid w:val="005B6F15"/>
    <w:rsid w:val="006012B7"/>
    <w:rsid w:val="006312B8"/>
    <w:rsid w:val="00634DDC"/>
    <w:rsid w:val="006E318D"/>
    <w:rsid w:val="007331D6"/>
    <w:rsid w:val="007E2A01"/>
    <w:rsid w:val="008039E6"/>
    <w:rsid w:val="00806AC2"/>
    <w:rsid w:val="008828E2"/>
    <w:rsid w:val="008A7DAF"/>
    <w:rsid w:val="00904D67"/>
    <w:rsid w:val="009578B2"/>
    <w:rsid w:val="009B3B9E"/>
    <w:rsid w:val="009D0EA6"/>
    <w:rsid w:val="009F5C65"/>
    <w:rsid w:val="00A52365"/>
    <w:rsid w:val="00A52972"/>
    <w:rsid w:val="00AB6878"/>
    <w:rsid w:val="00B45B66"/>
    <w:rsid w:val="00BA4030"/>
    <w:rsid w:val="00C12FD9"/>
    <w:rsid w:val="00C63BEE"/>
    <w:rsid w:val="00C82D37"/>
    <w:rsid w:val="00CA5819"/>
    <w:rsid w:val="00D3444C"/>
    <w:rsid w:val="00D37C0B"/>
    <w:rsid w:val="00D512A1"/>
    <w:rsid w:val="00D669BB"/>
    <w:rsid w:val="00DB13A9"/>
    <w:rsid w:val="00DC13EE"/>
    <w:rsid w:val="00DF1135"/>
    <w:rsid w:val="00DF49E4"/>
    <w:rsid w:val="00EC111C"/>
    <w:rsid w:val="00F01B3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22D30"/>
  <w15:chartTrackingRefBased/>
  <w15:docId w15:val="{AE3C1D27-D937-4FD8-9160-9E89B9493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06AC2"/>
    <w:pPr>
      <w:widowControl w:val="0"/>
      <w:spacing w:after="0" w:line="240" w:lineRule="auto"/>
    </w:pPr>
    <w:rPr>
      <w:rFonts w:ascii="Times New Roman" w:eastAsia="Times New Roman" w:hAnsi="Times New Roman" w:cs="Times New Roman"/>
      <w:lang w:eastAsia="es-CO"/>
    </w:rPr>
  </w:style>
  <w:style w:type="paragraph" w:styleId="Ttulo1">
    <w:name w:val="heading 1"/>
    <w:basedOn w:val="Normal"/>
    <w:next w:val="Normal"/>
    <w:link w:val="Ttulo1Car"/>
    <w:rsid w:val="007E2A01"/>
    <w:pPr>
      <w:outlineLvl w:val="0"/>
    </w:pPr>
    <w:rPr>
      <w:b/>
      <w:sz w:val="32"/>
      <w:szCs w:val="32"/>
    </w:rPr>
  </w:style>
  <w:style w:type="paragraph" w:styleId="Ttulo2">
    <w:name w:val="heading 2"/>
    <w:basedOn w:val="Normal"/>
    <w:next w:val="Normal"/>
    <w:link w:val="Ttulo2Car"/>
    <w:rsid w:val="007E2A01"/>
    <w:pPr>
      <w:ind w:left="102"/>
      <w:outlineLvl w:val="1"/>
    </w:pPr>
    <w:rPr>
      <w:b/>
      <w:sz w:val="28"/>
      <w:szCs w:val="28"/>
    </w:rPr>
  </w:style>
  <w:style w:type="paragraph" w:styleId="Ttulo3">
    <w:name w:val="heading 3"/>
    <w:basedOn w:val="Normal"/>
    <w:next w:val="Normal"/>
    <w:link w:val="Ttulo3Car"/>
    <w:rsid w:val="007E2A01"/>
    <w:pPr>
      <w:keepNext/>
      <w:keepLines/>
      <w:spacing w:before="280" w:after="80"/>
      <w:outlineLvl w:val="2"/>
    </w:pPr>
    <w:rPr>
      <w:b/>
      <w:sz w:val="28"/>
      <w:szCs w:val="28"/>
    </w:rPr>
  </w:style>
  <w:style w:type="paragraph" w:styleId="Ttulo4">
    <w:name w:val="heading 4"/>
    <w:basedOn w:val="Normal"/>
    <w:next w:val="Normal"/>
    <w:link w:val="Ttulo4Car"/>
    <w:rsid w:val="007E2A01"/>
    <w:pPr>
      <w:keepNext/>
      <w:keepLines/>
      <w:spacing w:before="240" w:after="40"/>
      <w:outlineLvl w:val="3"/>
    </w:pPr>
    <w:rPr>
      <w:b/>
      <w:sz w:val="24"/>
      <w:szCs w:val="24"/>
    </w:rPr>
  </w:style>
  <w:style w:type="paragraph" w:styleId="Ttulo5">
    <w:name w:val="heading 5"/>
    <w:basedOn w:val="Normal"/>
    <w:next w:val="Normal"/>
    <w:link w:val="Ttulo5Car"/>
    <w:rsid w:val="007E2A01"/>
    <w:pPr>
      <w:keepNext/>
      <w:keepLines/>
      <w:spacing w:before="220" w:after="40"/>
      <w:outlineLvl w:val="4"/>
    </w:pPr>
    <w:rPr>
      <w:b/>
    </w:rPr>
  </w:style>
  <w:style w:type="paragraph" w:styleId="Ttulo6">
    <w:name w:val="heading 6"/>
    <w:basedOn w:val="Normal"/>
    <w:next w:val="Normal"/>
    <w:link w:val="Ttulo6Car"/>
    <w:rsid w:val="007E2A01"/>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E2A01"/>
    <w:rPr>
      <w:rFonts w:ascii="Times New Roman" w:eastAsia="Times New Roman" w:hAnsi="Times New Roman" w:cs="Times New Roman"/>
      <w:b/>
      <w:sz w:val="32"/>
      <w:szCs w:val="32"/>
      <w:lang w:eastAsia="es-CO"/>
    </w:rPr>
  </w:style>
  <w:style w:type="character" w:customStyle="1" w:styleId="Ttulo2Car">
    <w:name w:val="Título 2 Car"/>
    <w:basedOn w:val="Fuentedeprrafopredeter"/>
    <w:link w:val="Ttulo2"/>
    <w:rsid w:val="007E2A01"/>
    <w:rPr>
      <w:rFonts w:ascii="Times New Roman" w:eastAsia="Times New Roman" w:hAnsi="Times New Roman" w:cs="Times New Roman"/>
      <w:b/>
      <w:sz w:val="28"/>
      <w:szCs w:val="28"/>
      <w:lang w:eastAsia="es-CO"/>
    </w:rPr>
  </w:style>
  <w:style w:type="character" w:customStyle="1" w:styleId="Ttulo3Car">
    <w:name w:val="Título 3 Car"/>
    <w:basedOn w:val="Fuentedeprrafopredeter"/>
    <w:link w:val="Ttulo3"/>
    <w:rsid w:val="007E2A01"/>
    <w:rPr>
      <w:rFonts w:ascii="Times New Roman" w:eastAsia="Times New Roman" w:hAnsi="Times New Roman" w:cs="Times New Roman"/>
      <w:b/>
      <w:sz w:val="28"/>
      <w:szCs w:val="28"/>
      <w:lang w:eastAsia="es-CO"/>
    </w:rPr>
  </w:style>
  <w:style w:type="character" w:customStyle="1" w:styleId="Ttulo4Car">
    <w:name w:val="Título 4 Car"/>
    <w:basedOn w:val="Fuentedeprrafopredeter"/>
    <w:link w:val="Ttulo4"/>
    <w:rsid w:val="007E2A01"/>
    <w:rPr>
      <w:rFonts w:ascii="Times New Roman" w:eastAsia="Times New Roman" w:hAnsi="Times New Roman" w:cs="Times New Roman"/>
      <w:b/>
      <w:sz w:val="24"/>
      <w:szCs w:val="24"/>
      <w:lang w:eastAsia="es-CO"/>
    </w:rPr>
  </w:style>
  <w:style w:type="character" w:customStyle="1" w:styleId="Ttulo5Car">
    <w:name w:val="Título 5 Car"/>
    <w:basedOn w:val="Fuentedeprrafopredeter"/>
    <w:link w:val="Ttulo5"/>
    <w:rsid w:val="007E2A01"/>
    <w:rPr>
      <w:rFonts w:ascii="Times New Roman" w:eastAsia="Times New Roman" w:hAnsi="Times New Roman" w:cs="Times New Roman"/>
      <w:b/>
      <w:lang w:eastAsia="es-CO"/>
    </w:rPr>
  </w:style>
  <w:style w:type="character" w:customStyle="1" w:styleId="Ttulo6Car">
    <w:name w:val="Título 6 Car"/>
    <w:basedOn w:val="Fuentedeprrafopredeter"/>
    <w:link w:val="Ttulo6"/>
    <w:rsid w:val="007E2A01"/>
    <w:rPr>
      <w:rFonts w:ascii="Times New Roman" w:eastAsia="Times New Roman" w:hAnsi="Times New Roman" w:cs="Times New Roman"/>
      <w:b/>
      <w:sz w:val="20"/>
      <w:szCs w:val="20"/>
      <w:lang w:eastAsia="es-CO"/>
    </w:rPr>
  </w:style>
  <w:style w:type="table" w:customStyle="1" w:styleId="TableNormal1">
    <w:name w:val="Table Normal1"/>
    <w:rsid w:val="007E2A01"/>
    <w:pPr>
      <w:widowControl w:val="0"/>
      <w:spacing w:after="0" w:line="240" w:lineRule="auto"/>
    </w:pPr>
    <w:rPr>
      <w:rFonts w:ascii="Times New Roman" w:eastAsia="Times New Roman" w:hAnsi="Times New Roman" w:cs="Times New Roman"/>
      <w:lang w:eastAsia="es-CO"/>
    </w:rPr>
    <w:tblPr>
      <w:tblCellMar>
        <w:top w:w="0" w:type="dxa"/>
        <w:left w:w="0" w:type="dxa"/>
        <w:bottom w:w="0" w:type="dxa"/>
        <w:right w:w="0" w:type="dxa"/>
      </w:tblCellMar>
    </w:tblPr>
  </w:style>
  <w:style w:type="paragraph" w:styleId="Ttulo">
    <w:name w:val="Title"/>
    <w:basedOn w:val="Normal"/>
    <w:next w:val="Normal"/>
    <w:link w:val="TtuloCar"/>
    <w:rsid w:val="007E2A01"/>
    <w:pPr>
      <w:keepNext/>
      <w:keepLines/>
      <w:spacing w:before="480" w:after="120"/>
    </w:pPr>
    <w:rPr>
      <w:b/>
      <w:sz w:val="72"/>
      <w:szCs w:val="72"/>
    </w:rPr>
  </w:style>
  <w:style w:type="character" w:customStyle="1" w:styleId="TtuloCar">
    <w:name w:val="Título Car"/>
    <w:basedOn w:val="Fuentedeprrafopredeter"/>
    <w:link w:val="Ttulo"/>
    <w:rsid w:val="007E2A01"/>
    <w:rPr>
      <w:rFonts w:ascii="Times New Roman" w:eastAsia="Times New Roman" w:hAnsi="Times New Roman" w:cs="Times New Roman"/>
      <w:b/>
      <w:sz w:val="72"/>
      <w:szCs w:val="72"/>
      <w:lang w:eastAsia="es-CO"/>
    </w:rPr>
  </w:style>
  <w:style w:type="paragraph" w:styleId="Subttulo">
    <w:name w:val="Subtitle"/>
    <w:basedOn w:val="Normal"/>
    <w:next w:val="Normal"/>
    <w:link w:val="SubttuloCar"/>
    <w:rsid w:val="007E2A01"/>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7E2A01"/>
    <w:rPr>
      <w:rFonts w:ascii="Georgia" w:eastAsia="Georgia" w:hAnsi="Georgia" w:cs="Georgia"/>
      <w:i/>
      <w:color w:val="666666"/>
      <w:sz w:val="48"/>
      <w:szCs w:val="48"/>
      <w:lang w:eastAsia="es-CO"/>
    </w:rPr>
  </w:style>
  <w:style w:type="paragraph" w:styleId="Textocomentario">
    <w:name w:val="annotation text"/>
    <w:basedOn w:val="Normal"/>
    <w:link w:val="TextocomentarioCar"/>
    <w:uiPriority w:val="99"/>
    <w:unhideWhenUsed/>
    <w:rsid w:val="007E2A01"/>
    <w:rPr>
      <w:sz w:val="20"/>
      <w:szCs w:val="20"/>
    </w:rPr>
  </w:style>
  <w:style w:type="character" w:customStyle="1" w:styleId="TextocomentarioCar">
    <w:name w:val="Texto comentario Car"/>
    <w:basedOn w:val="Fuentedeprrafopredeter"/>
    <w:link w:val="Textocomentario"/>
    <w:uiPriority w:val="99"/>
    <w:rsid w:val="007E2A01"/>
    <w:rPr>
      <w:rFonts w:ascii="Times New Roman" w:eastAsia="Times New Roman" w:hAnsi="Times New Roman" w:cs="Times New Roman"/>
      <w:sz w:val="20"/>
      <w:szCs w:val="20"/>
      <w:lang w:eastAsia="es-CO"/>
    </w:rPr>
  </w:style>
  <w:style w:type="character" w:styleId="Refdecomentario">
    <w:name w:val="annotation reference"/>
    <w:basedOn w:val="Fuentedeprrafopredeter"/>
    <w:uiPriority w:val="99"/>
    <w:semiHidden/>
    <w:unhideWhenUsed/>
    <w:rsid w:val="007E2A01"/>
    <w:rPr>
      <w:sz w:val="16"/>
      <w:szCs w:val="16"/>
    </w:rPr>
  </w:style>
  <w:style w:type="paragraph" w:styleId="Textodeglobo">
    <w:name w:val="Balloon Text"/>
    <w:basedOn w:val="Normal"/>
    <w:link w:val="TextodegloboCar"/>
    <w:uiPriority w:val="99"/>
    <w:semiHidden/>
    <w:unhideWhenUsed/>
    <w:rsid w:val="007E2A0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2A01"/>
    <w:rPr>
      <w:rFonts w:ascii="Segoe UI" w:eastAsia="Times New Roman" w:hAnsi="Segoe UI" w:cs="Segoe UI"/>
      <w:sz w:val="18"/>
      <w:szCs w:val="18"/>
      <w:lang w:eastAsia="es-CO"/>
    </w:rPr>
  </w:style>
  <w:style w:type="paragraph" w:styleId="Encabezado">
    <w:name w:val="header"/>
    <w:basedOn w:val="Normal"/>
    <w:link w:val="EncabezadoCar"/>
    <w:uiPriority w:val="99"/>
    <w:unhideWhenUsed/>
    <w:rsid w:val="007E2A01"/>
    <w:pPr>
      <w:tabs>
        <w:tab w:val="center" w:pos="4419"/>
        <w:tab w:val="right" w:pos="8838"/>
      </w:tabs>
    </w:pPr>
  </w:style>
  <w:style w:type="character" w:customStyle="1" w:styleId="EncabezadoCar">
    <w:name w:val="Encabezado Car"/>
    <w:basedOn w:val="Fuentedeprrafopredeter"/>
    <w:link w:val="Encabezado"/>
    <w:uiPriority w:val="99"/>
    <w:rsid w:val="007E2A01"/>
    <w:rPr>
      <w:rFonts w:ascii="Times New Roman" w:eastAsia="Times New Roman" w:hAnsi="Times New Roman" w:cs="Times New Roman"/>
      <w:lang w:eastAsia="es-CO"/>
    </w:rPr>
  </w:style>
  <w:style w:type="paragraph" w:styleId="Piedepgina">
    <w:name w:val="footer"/>
    <w:basedOn w:val="Normal"/>
    <w:link w:val="PiedepginaCar"/>
    <w:uiPriority w:val="99"/>
    <w:unhideWhenUsed/>
    <w:rsid w:val="007E2A01"/>
    <w:pPr>
      <w:tabs>
        <w:tab w:val="center" w:pos="4419"/>
        <w:tab w:val="right" w:pos="8838"/>
      </w:tabs>
    </w:pPr>
  </w:style>
  <w:style w:type="character" w:customStyle="1" w:styleId="PiedepginaCar">
    <w:name w:val="Pie de página Car"/>
    <w:basedOn w:val="Fuentedeprrafopredeter"/>
    <w:link w:val="Piedepgina"/>
    <w:uiPriority w:val="99"/>
    <w:rsid w:val="007E2A01"/>
    <w:rPr>
      <w:rFonts w:ascii="Times New Roman" w:eastAsia="Times New Roman" w:hAnsi="Times New Roman" w:cs="Times New Roman"/>
      <w:lang w:eastAsia="es-CO"/>
    </w:rPr>
  </w:style>
  <w:style w:type="character" w:styleId="Hipervnculo">
    <w:name w:val="Hyperlink"/>
    <w:basedOn w:val="Fuentedeprrafopredeter"/>
    <w:uiPriority w:val="99"/>
    <w:unhideWhenUsed/>
    <w:rsid w:val="007E2A01"/>
    <w:rPr>
      <w:color w:val="0563C1" w:themeColor="hyperlink"/>
      <w:u w:val="single"/>
    </w:rPr>
  </w:style>
  <w:style w:type="paragraph" w:styleId="Textonotapie">
    <w:name w:val="footnote text"/>
    <w:basedOn w:val="Normal"/>
    <w:link w:val="TextonotapieCar"/>
    <w:uiPriority w:val="99"/>
    <w:unhideWhenUsed/>
    <w:rsid w:val="007E2A01"/>
    <w:pPr>
      <w:widowControl/>
    </w:pPr>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rsid w:val="007E2A01"/>
    <w:rPr>
      <w:sz w:val="20"/>
      <w:szCs w:val="20"/>
    </w:rPr>
  </w:style>
  <w:style w:type="character" w:styleId="Refdenotaalpie">
    <w:name w:val="footnote reference"/>
    <w:basedOn w:val="Fuentedeprrafopredeter"/>
    <w:uiPriority w:val="99"/>
    <w:unhideWhenUsed/>
    <w:rsid w:val="007E2A01"/>
    <w:rPr>
      <w:vertAlign w:val="superscript"/>
    </w:rPr>
  </w:style>
  <w:style w:type="paragraph" w:styleId="Prrafodelista">
    <w:name w:val="List Paragraph"/>
    <w:aliases w:val="Ha,Resume Title,titulo 3,Bullet,Párrafo de lista1,Lista vistosa - Énfasis 11,HOJA,Bolita,Párrafo de lista4,BOLADEF,Párrafo de lista2,Párrafo de lista3,Párrafo de lista21,BOLA,Nivel 1 OS,Colorful List Accent 1,Colorful List - Accent 11"/>
    <w:basedOn w:val="Normal"/>
    <w:link w:val="PrrafodelistaCar"/>
    <w:uiPriority w:val="34"/>
    <w:qFormat/>
    <w:rsid w:val="007E2A01"/>
    <w:pPr>
      <w:widowControl/>
      <w:spacing w:after="160" w:line="259" w:lineRule="auto"/>
      <w:ind w:left="720"/>
      <w:contextualSpacing/>
    </w:pPr>
    <w:rPr>
      <w:rFonts w:asciiTheme="minorHAnsi" w:eastAsiaTheme="minorHAnsi" w:hAnsiTheme="minorHAnsi" w:cstheme="minorBidi"/>
      <w:lang w:eastAsia="en-US"/>
    </w:rPr>
  </w:style>
  <w:style w:type="paragraph" w:styleId="Asuntodelcomentario">
    <w:name w:val="annotation subject"/>
    <w:basedOn w:val="Textocomentario"/>
    <w:next w:val="Textocomentario"/>
    <w:link w:val="AsuntodelcomentarioCar"/>
    <w:uiPriority w:val="99"/>
    <w:semiHidden/>
    <w:unhideWhenUsed/>
    <w:rsid w:val="007E2A01"/>
    <w:rPr>
      <w:b/>
      <w:bCs/>
    </w:rPr>
  </w:style>
  <w:style w:type="character" w:customStyle="1" w:styleId="AsuntodelcomentarioCar">
    <w:name w:val="Asunto del comentario Car"/>
    <w:basedOn w:val="TextocomentarioCar"/>
    <w:link w:val="Asuntodelcomentario"/>
    <w:uiPriority w:val="99"/>
    <w:semiHidden/>
    <w:rsid w:val="007E2A01"/>
    <w:rPr>
      <w:rFonts w:ascii="Times New Roman" w:eastAsia="Times New Roman" w:hAnsi="Times New Roman" w:cs="Times New Roman"/>
      <w:b/>
      <w:bCs/>
      <w:sz w:val="20"/>
      <w:szCs w:val="20"/>
      <w:lang w:eastAsia="es-CO"/>
    </w:rPr>
  </w:style>
  <w:style w:type="paragraph" w:styleId="NormalWeb">
    <w:name w:val="Normal (Web)"/>
    <w:basedOn w:val="Normal"/>
    <w:uiPriority w:val="99"/>
    <w:unhideWhenUsed/>
    <w:rsid w:val="007E2A01"/>
    <w:pPr>
      <w:widowControl/>
      <w:spacing w:before="100" w:beforeAutospacing="1" w:after="100" w:afterAutospacing="1"/>
    </w:pPr>
    <w:rPr>
      <w:sz w:val="24"/>
      <w:szCs w:val="24"/>
    </w:rPr>
  </w:style>
  <w:style w:type="table" w:styleId="Tablaconcuadrcula">
    <w:name w:val="Table Grid"/>
    <w:basedOn w:val="Tablanormal"/>
    <w:uiPriority w:val="39"/>
    <w:rsid w:val="007E2A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Ha Car,Resume Title Car,titulo 3 Car,Bullet Car,Párrafo de lista1 Car,Lista vistosa - Énfasis 11 Car,HOJA Car,Bolita Car,Párrafo de lista4 Car,BOLADEF Car,Párrafo de lista2 Car,Párrafo de lista3 Car,Párrafo de lista21 Car,BOLA Car"/>
    <w:link w:val="Prrafodelista"/>
    <w:uiPriority w:val="34"/>
    <w:locked/>
    <w:rsid w:val="007E2A01"/>
  </w:style>
  <w:style w:type="character" w:styleId="Textoennegrita">
    <w:name w:val="Strong"/>
    <w:basedOn w:val="Fuentedeprrafopredeter"/>
    <w:uiPriority w:val="22"/>
    <w:qFormat/>
    <w:rsid w:val="007E2A01"/>
    <w:rPr>
      <w:b/>
      <w:bCs/>
    </w:rPr>
  </w:style>
  <w:style w:type="paragraph" w:customStyle="1" w:styleId="cita">
    <w:name w:val="cita"/>
    <w:basedOn w:val="Normal"/>
    <w:rsid w:val="007E2A01"/>
    <w:pPr>
      <w:widowControl/>
      <w:spacing w:before="100" w:beforeAutospacing="1" w:after="100" w:afterAutospacing="1"/>
    </w:pPr>
    <w:rPr>
      <w:sz w:val="24"/>
      <w:szCs w:val="24"/>
    </w:rPr>
  </w:style>
  <w:style w:type="paragraph" w:styleId="Revisin">
    <w:name w:val="Revision"/>
    <w:hidden/>
    <w:uiPriority w:val="99"/>
    <w:semiHidden/>
    <w:rsid w:val="007E2A01"/>
    <w:pPr>
      <w:spacing w:after="0" w:line="240" w:lineRule="auto"/>
    </w:pPr>
    <w:rPr>
      <w:rFonts w:ascii="Times New Roman" w:eastAsia="Times New Roman" w:hAnsi="Times New Roman" w:cs="Times New Roman"/>
      <w:lang w:eastAsia="es-CO"/>
    </w:rPr>
  </w:style>
  <w:style w:type="paragraph" w:styleId="Textonotaalfinal">
    <w:name w:val="endnote text"/>
    <w:basedOn w:val="Normal"/>
    <w:link w:val="TextonotaalfinalCar"/>
    <w:uiPriority w:val="99"/>
    <w:semiHidden/>
    <w:unhideWhenUsed/>
    <w:rsid w:val="007E2A01"/>
    <w:rPr>
      <w:sz w:val="20"/>
      <w:szCs w:val="20"/>
    </w:rPr>
  </w:style>
  <w:style w:type="character" w:customStyle="1" w:styleId="TextonotaalfinalCar">
    <w:name w:val="Texto nota al final Car"/>
    <w:basedOn w:val="Fuentedeprrafopredeter"/>
    <w:link w:val="Textonotaalfinal"/>
    <w:uiPriority w:val="99"/>
    <w:semiHidden/>
    <w:rsid w:val="007E2A01"/>
    <w:rPr>
      <w:rFonts w:ascii="Times New Roman" w:eastAsia="Times New Roman" w:hAnsi="Times New Roman" w:cs="Times New Roman"/>
      <w:sz w:val="20"/>
      <w:szCs w:val="20"/>
      <w:lang w:eastAsia="es-CO"/>
    </w:rPr>
  </w:style>
  <w:style w:type="character" w:styleId="Refdenotaalfinal">
    <w:name w:val="endnote reference"/>
    <w:basedOn w:val="Fuentedeprrafopredeter"/>
    <w:uiPriority w:val="99"/>
    <w:semiHidden/>
    <w:unhideWhenUsed/>
    <w:rsid w:val="007E2A01"/>
    <w:rPr>
      <w:vertAlign w:val="superscript"/>
    </w:rPr>
  </w:style>
  <w:style w:type="paragraph" w:customStyle="1" w:styleId="centrado">
    <w:name w:val="centrado"/>
    <w:basedOn w:val="Normal"/>
    <w:rsid w:val="007E2A01"/>
    <w:pPr>
      <w:widowControl/>
      <w:spacing w:before="100" w:beforeAutospacing="1" w:after="100" w:afterAutospacing="1"/>
    </w:pPr>
    <w:rPr>
      <w:sz w:val="24"/>
      <w:szCs w:val="24"/>
    </w:rPr>
  </w:style>
  <w:style w:type="paragraph" w:styleId="Sinespaciado">
    <w:name w:val="No Spacing"/>
    <w:link w:val="SinespaciadoCar"/>
    <w:uiPriority w:val="1"/>
    <w:qFormat/>
    <w:rsid w:val="007E2A01"/>
    <w:pPr>
      <w:spacing w:after="0" w:line="240" w:lineRule="auto"/>
    </w:pPr>
  </w:style>
  <w:style w:type="character" w:customStyle="1" w:styleId="SinespaciadoCar">
    <w:name w:val="Sin espaciado Car"/>
    <w:link w:val="Sinespaciado"/>
    <w:uiPriority w:val="1"/>
    <w:locked/>
    <w:rsid w:val="007E2A01"/>
  </w:style>
  <w:style w:type="character" w:customStyle="1" w:styleId="Mencinsinresolver1">
    <w:name w:val="Mención sin resolver1"/>
    <w:basedOn w:val="Fuentedeprrafopredeter"/>
    <w:uiPriority w:val="99"/>
    <w:semiHidden/>
    <w:unhideWhenUsed/>
    <w:rsid w:val="007E2A01"/>
    <w:rPr>
      <w:color w:val="605E5C"/>
      <w:shd w:val="clear" w:color="auto" w:fill="E1DFDD"/>
    </w:rPr>
  </w:style>
  <w:style w:type="character" w:customStyle="1" w:styleId="baj">
    <w:name w:val="b_aj"/>
    <w:basedOn w:val="Fuentedeprrafopredeter"/>
    <w:rsid w:val="007E2A01"/>
  </w:style>
  <w:style w:type="character" w:styleId="nfasis">
    <w:name w:val="Emphasis"/>
    <w:basedOn w:val="Fuentedeprrafopredeter"/>
    <w:uiPriority w:val="20"/>
    <w:qFormat/>
    <w:rsid w:val="007E2A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hyperlink" Target="https://sitios.dane.gov.co/cnpv-presentacion/src/"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hyperlink" Target="http://www.globalcommissionondrugs.org/wp-content/uploads/2018/11/SPA-2018_SDGPaper_WEB.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s://www.vox.com/2014/5/19/5727712/drug-alcohol-death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yperlink" Target="http://www.prisonstudies.org/country/colombia" TargetMode="External"/><Relationship Id="rId10" Type="http://schemas.openxmlformats.org/officeDocument/2006/relationships/image" Target="media/image3.png"/><Relationship Id="rId19" Type="http://schemas.openxmlformats.org/officeDocument/2006/relationships/hyperlink" Target="http://fileserver.idpc.net/library/dpa_marijuana_legalization_report_v8_0.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ias.org.uk/uploads/pdf/News%20stories/dnutt-lancet-011110.pdf"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globalcommissionondrugs.org/wp-content/uploads/2018/11/SPA-2018_SDGPaper_WEB.pdf" TargetMode="External"/><Relationship Id="rId13" Type="http://schemas.openxmlformats.org/officeDocument/2006/relationships/hyperlink" Target="http://www.globalcommissionondrugs.org/wp-content/uploads/2018/11/SPA-2018_SDGPaper_WEB.pdf" TargetMode="External"/><Relationship Id="rId3" Type="http://schemas.openxmlformats.org/officeDocument/2006/relationships/hyperlink" Target="https://www.cdc.gov/mmwr/volumes/68/wr/mm6839a3.htm?s_cid=mm6839a3_w" TargetMode="External"/><Relationship Id="rId7" Type="http://schemas.openxmlformats.org/officeDocument/2006/relationships/hyperlink" Target="http://www.globalcommissionondrugs.org/wp-content/uploads/2018/11/SPA-2018_SDGPaper_WEB.pdf" TargetMode="External"/><Relationship Id="rId12" Type="http://schemas.openxmlformats.org/officeDocument/2006/relationships/hyperlink" Target="http://www.globalcommissionondrugs.org/wp-content/uploads/2018/11/SPA-2018_SDGPaper_WEB.pdf" TargetMode="External"/><Relationship Id="rId2" Type="http://schemas.openxmlformats.org/officeDocument/2006/relationships/hyperlink" Target="https://www.vox.com/2014/5/19/5727712/drug-alcohol-deaths" TargetMode="External"/><Relationship Id="rId1" Type="http://schemas.openxmlformats.org/officeDocument/2006/relationships/hyperlink" Target="https://www.who.int/es/news-room/fact-sheets/detail/tobacco" TargetMode="External"/><Relationship Id="rId6" Type="http://schemas.openxmlformats.org/officeDocument/2006/relationships/hyperlink" Target="http://www.globalcommissionondrugs.org/wp-content/uploads/2018/11/SPA-2018_SDGPaper_WEB.pdf" TargetMode="External"/><Relationship Id="rId11" Type="http://schemas.openxmlformats.org/officeDocument/2006/relationships/hyperlink" Target="http://www.globalcommissionondrugs.org/wp-content/uploads/2018/11/SPA-2018_SDGPaper_WEB.pdf" TargetMode="External"/><Relationship Id="rId5" Type="http://schemas.openxmlformats.org/officeDocument/2006/relationships/hyperlink" Target="https://www.dejusticia.org/wp-content/uploads/2017/07/Delitos-de-drogas-y-sobredosis-carcelaria-en-Colombia-Version-final-PDF-para-WEB.pdf" TargetMode="External"/><Relationship Id="rId15" Type="http://schemas.openxmlformats.org/officeDocument/2006/relationships/hyperlink" Target="http://www.globalcommissionondrugs.org/wp-content/uploads/2018/11/SPA-2018_SDGPaper_WEB.pdf" TargetMode="External"/><Relationship Id="rId10" Type="http://schemas.openxmlformats.org/officeDocument/2006/relationships/hyperlink" Target="http://www.globalcommissionondrugs.org/wp-content/uploads/2018/11/SPA-2018_SDGPaper_WEB.pdf" TargetMode="External"/><Relationship Id="rId4" Type="http://schemas.openxmlformats.org/officeDocument/2006/relationships/hyperlink" Target="https://www.vox.com/2014/5/19/5727712/drug-alcohol-deaths" TargetMode="External"/><Relationship Id="rId9" Type="http://schemas.openxmlformats.org/officeDocument/2006/relationships/hyperlink" Target="http://www.globalcommissionondrugs.org/wp-content/uploads/2018/11/SPA-2018_SDGPaper_WEB.pdf" TargetMode="External"/><Relationship Id="rId14" Type="http://schemas.openxmlformats.org/officeDocument/2006/relationships/hyperlink" Target="http://www.globalcommissionondrugs.org/wp-content/uploads/2018/11/SPA-2018_SDGPaper_WEB.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31600-0DA5-4E38-B48E-1AB2F48E2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75</Pages>
  <Words>24408</Words>
  <Characters>134250</Characters>
  <Application>Microsoft Office Word</Application>
  <DocSecurity>0</DocSecurity>
  <Lines>1118</Lines>
  <Paragraphs>316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Felipe  Arrieta Betancourt UTL</dc:creator>
  <cp:keywords/>
  <dc:description/>
  <cp:lastModifiedBy>Manuel Felipe  Arrieta Betancourt UTL</cp:lastModifiedBy>
  <cp:revision>15</cp:revision>
  <cp:lastPrinted>2023-04-12T15:20:00Z</cp:lastPrinted>
  <dcterms:created xsi:type="dcterms:W3CDTF">2023-04-10T14:32:00Z</dcterms:created>
  <dcterms:modified xsi:type="dcterms:W3CDTF">2023-04-12T16:59:00Z</dcterms:modified>
</cp:coreProperties>
</file>